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13ACAE9E" w14:textId="77777777" w:rsidR="001A50AE" w:rsidRDefault="001A50A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4139D524" w14:textId="250032E1" w:rsidR="0032087D" w:rsidRPr="00C57318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5366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4A5366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4A5366" w:rsidRPr="004A5366">
        <w:rPr>
          <w:rFonts w:ascii="Times New Roman" w:hAnsi="Times New Roman"/>
          <w:b/>
          <w:bCs/>
          <w:caps/>
          <w:sz w:val="28"/>
          <w:szCs w:val="28"/>
        </w:rPr>
        <w:t>-5.1.6/</w:t>
      </w:r>
      <w:r w:rsidR="00BB1148" w:rsidRPr="004A5366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792FC7C1" w:rsidR="0032087D" w:rsidRPr="0061151C" w:rsidRDefault="004A5366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A5366">
        <w:rPr>
          <w:rFonts w:ascii="Times New Roman" w:hAnsi="Times New Roman"/>
          <w:b/>
          <w:bCs/>
          <w:sz w:val="28"/>
          <w:szCs w:val="28"/>
        </w:rPr>
        <w:t>nyílt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87D"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20CA13A3" w14:textId="12ADECE2" w:rsidR="0032087D" w:rsidRDefault="004A5366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366">
        <w:rPr>
          <w:rFonts w:ascii="Times New Roman" w:hAnsi="Times New Roman"/>
          <w:b/>
          <w:bCs/>
          <w:sz w:val="28"/>
          <w:szCs w:val="28"/>
        </w:rPr>
        <w:t>Súlyos és szervezett bűnözés elleni küzdelem részeként bűnmegelőzési tárgyú programok és kampányok indítása</w:t>
      </w:r>
    </w:p>
    <w:p w14:paraId="35655F1D" w14:textId="77777777" w:rsidR="004A5366" w:rsidRPr="00F37A3D" w:rsidRDefault="004A5366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138CAF80" w14:textId="77777777" w:rsidR="0007366C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509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_Toc11685509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4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17358CF5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10" w:history="1">
            <w:r w:rsidR="0007366C" w:rsidRPr="00A76F49">
              <w:rPr>
                <w:rStyle w:val="Hiperhivatkozs"/>
              </w:rPr>
              <w:t>I.1. Általános információk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_Toc11685510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</w:t>
            </w:r>
            <w:r w:rsidR="0007366C">
              <w:rPr>
                <w:webHidden/>
              </w:rPr>
              <w:fldChar w:fldCharType="end"/>
            </w:r>
          </w:hyperlink>
        </w:p>
        <w:p w14:paraId="7C6D431B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11" w:history="1">
            <w:r w:rsidR="0007366C" w:rsidRPr="00A76F49">
              <w:rPr>
                <w:rStyle w:val="Hiperhivatkozs"/>
              </w:rPr>
              <w:t>I.1.1. A támogatási kérelmek benyújtásának módja, helye és ideje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_Toc11685511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</w:t>
            </w:r>
            <w:r w:rsidR="0007366C">
              <w:rPr>
                <w:webHidden/>
              </w:rPr>
              <w:fldChar w:fldCharType="end"/>
            </w:r>
          </w:hyperlink>
        </w:p>
        <w:p w14:paraId="06B4542E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12" w:history="1">
            <w:r w:rsidR="0007366C" w:rsidRPr="00A76F49">
              <w:rPr>
                <w:rStyle w:val="Hiperhivatkozs"/>
              </w:rPr>
              <w:t>I.1.2. A támogatást igénylők tájékoztatása, értesítése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_Toc11685512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</w:t>
            </w:r>
            <w:r w:rsidR="0007366C">
              <w:rPr>
                <w:webHidden/>
              </w:rPr>
              <w:fldChar w:fldCharType="end"/>
            </w:r>
          </w:hyperlink>
        </w:p>
        <w:p w14:paraId="4F0E1571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13" w:history="1">
            <w:r w:rsidR="0007366C" w:rsidRPr="00A76F49">
              <w:rPr>
                <w:rStyle w:val="Hiperhivatkozs"/>
              </w:rPr>
              <w:t>I.2. Pénzügyi információk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_Toc11685513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6</w:t>
            </w:r>
            <w:r w:rsidR="0007366C">
              <w:rPr>
                <w:webHidden/>
              </w:rPr>
              <w:fldChar w:fldCharType="end"/>
            </w:r>
          </w:hyperlink>
        </w:p>
        <w:p w14:paraId="6A597ABF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14" w:history="1">
            <w:r w:rsidR="0007366C" w:rsidRPr="00A76F49">
              <w:rPr>
                <w:rStyle w:val="Hiperhivatkozs"/>
              </w:rPr>
              <w:t>I.2.1 Általános információk, a finanszírozás módja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_Toc11685514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6</w:t>
            </w:r>
            <w:r w:rsidR="0007366C">
              <w:rPr>
                <w:webHidden/>
              </w:rPr>
              <w:fldChar w:fldCharType="end"/>
            </w:r>
          </w:hyperlink>
        </w:p>
        <w:p w14:paraId="05C6E468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15" w:history="1">
            <w:r w:rsidR="0007366C" w:rsidRPr="00A76F49">
              <w:rPr>
                <w:rStyle w:val="Hiperhivatkozs"/>
              </w:rPr>
              <w:t>I.3. Célcsoport/ egyéb közreműködők és támogatható intézkedések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_Toc11685515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7</w:t>
            </w:r>
            <w:r w:rsidR="0007366C">
              <w:rPr>
                <w:webHidden/>
              </w:rPr>
              <w:fldChar w:fldCharType="end"/>
            </w:r>
          </w:hyperlink>
        </w:p>
        <w:p w14:paraId="3A35164A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16" w:history="1">
            <w:r w:rsidR="0007366C" w:rsidRPr="00A76F49">
              <w:rPr>
                <w:rStyle w:val="Hiperhivatkozs"/>
              </w:rPr>
              <w:t>I.3.1 Célcsoport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_Toc11685516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7</w:t>
            </w:r>
            <w:r w:rsidR="0007366C">
              <w:rPr>
                <w:webHidden/>
              </w:rPr>
              <w:fldChar w:fldCharType="end"/>
            </w:r>
          </w:hyperlink>
        </w:p>
        <w:p w14:paraId="21A4EAAE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17" w:history="1">
            <w:r w:rsidR="0007366C" w:rsidRPr="00A76F49">
              <w:rPr>
                <w:rStyle w:val="Hiperhivatkozs"/>
              </w:rPr>
              <w:t>I.3.2. Támogatható intézkedés ismertetése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_Toc11685517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7</w:t>
            </w:r>
            <w:r w:rsidR="0007366C">
              <w:rPr>
                <w:webHidden/>
              </w:rPr>
              <w:fldChar w:fldCharType="end"/>
            </w:r>
          </w:hyperlink>
        </w:p>
        <w:p w14:paraId="4ECBC7DD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18" w:history="1">
            <w:r w:rsidR="0007366C" w:rsidRPr="00A76F49">
              <w:rPr>
                <w:rStyle w:val="Hiperhivatkozs"/>
              </w:rPr>
              <w:t>I. 4. A BBA-ra vonatkozó főbb jogszabályok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_Toc11685518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8</w:t>
            </w:r>
            <w:r w:rsidR="0007366C">
              <w:rPr>
                <w:webHidden/>
              </w:rPr>
              <w:fldChar w:fldCharType="end"/>
            </w:r>
          </w:hyperlink>
        </w:p>
        <w:p w14:paraId="7ABF3B07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19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_Toc11685519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12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15488244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0" w:history="1">
            <w:r w:rsidR="0007366C" w:rsidRPr="00A76F49">
              <w:rPr>
                <w:rStyle w:val="Hiperhivatkozs"/>
              </w:rPr>
              <w:t>II.1. Jogszabályi előírásoknak való megfelelőség vizsgálata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_Toc11685520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12</w:t>
            </w:r>
            <w:r w:rsidR="0007366C">
              <w:rPr>
                <w:webHidden/>
              </w:rPr>
              <w:fldChar w:fldCharType="end"/>
            </w:r>
          </w:hyperlink>
        </w:p>
        <w:p w14:paraId="19BA34F6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1" w:history="1">
            <w:r w:rsidR="0007366C" w:rsidRPr="00A76F49">
              <w:rPr>
                <w:rStyle w:val="Hiperhivatkozs"/>
              </w:rPr>
              <w:t>II.2. Gazdasági és pénzügyi alkalmasság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_Toc11685521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17</w:t>
            </w:r>
            <w:r w:rsidR="0007366C">
              <w:rPr>
                <w:webHidden/>
              </w:rPr>
              <w:fldChar w:fldCharType="end"/>
            </w:r>
          </w:hyperlink>
        </w:p>
        <w:p w14:paraId="178E7512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2" w:history="1">
            <w:r w:rsidR="0007366C" w:rsidRPr="00A76F49">
              <w:rPr>
                <w:rStyle w:val="Hiperhivatkozs"/>
              </w:rPr>
              <w:t>II 3. Partner bevonása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_Toc11685522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17</w:t>
            </w:r>
            <w:r w:rsidR="0007366C">
              <w:rPr>
                <w:webHidden/>
              </w:rPr>
              <w:fldChar w:fldCharType="end"/>
            </w:r>
          </w:hyperlink>
        </w:p>
        <w:p w14:paraId="4F2DF3C1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23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_Toc11685523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18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30ED0024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24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_Toc11685524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19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0F2B346E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5" w:history="1">
            <w:r w:rsidR="0007366C" w:rsidRPr="00A76F49">
              <w:rPr>
                <w:rStyle w:val="Hiperhivatkozs"/>
              </w:rPr>
              <w:t>IV.1. Előlegre vonatkozó szabályok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_Toc11685525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19</w:t>
            </w:r>
            <w:r w:rsidR="0007366C">
              <w:rPr>
                <w:webHidden/>
              </w:rPr>
              <w:fldChar w:fldCharType="end"/>
            </w:r>
          </w:hyperlink>
        </w:p>
        <w:p w14:paraId="07872127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6" w:history="1">
            <w:r w:rsidR="0007366C" w:rsidRPr="00A76F49">
              <w:rPr>
                <w:rStyle w:val="Hiperhivatkozs"/>
              </w:rPr>
              <w:t>IV.2. Az elszámolhatóság általános feltételei: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_Toc11685526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19</w:t>
            </w:r>
            <w:r w:rsidR="0007366C">
              <w:rPr>
                <w:webHidden/>
              </w:rPr>
              <w:fldChar w:fldCharType="end"/>
            </w:r>
          </w:hyperlink>
        </w:p>
        <w:p w14:paraId="660F89B1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27" w:history="1">
            <w:r w:rsidR="0007366C" w:rsidRPr="00A76F49">
              <w:rPr>
                <w:rStyle w:val="Hiperhivatkozs"/>
              </w:rPr>
              <w:t>IV.3. Az elszámolható költségek köre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_Toc11685527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23</w:t>
            </w:r>
            <w:r w:rsidR="0007366C">
              <w:rPr>
                <w:webHidden/>
              </w:rPr>
              <w:fldChar w:fldCharType="end"/>
            </w:r>
          </w:hyperlink>
        </w:p>
        <w:p w14:paraId="7D2231CD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28" w:history="1">
            <w:r w:rsidR="0007366C" w:rsidRPr="00A76F49">
              <w:rPr>
                <w:rStyle w:val="Hiperhivatkozs"/>
              </w:rPr>
              <w:t>IV.3.1. Projekt előkészítés költségei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_Toc11685528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24</w:t>
            </w:r>
            <w:r w:rsidR="0007366C">
              <w:rPr>
                <w:webHidden/>
              </w:rPr>
              <w:fldChar w:fldCharType="end"/>
            </w:r>
          </w:hyperlink>
        </w:p>
        <w:p w14:paraId="23DD71E5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29" w:history="1">
            <w:r w:rsidR="0007366C" w:rsidRPr="00A76F49">
              <w:rPr>
                <w:rStyle w:val="Hiperhivatkozs"/>
              </w:rPr>
              <w:t>IV.3.2. Beruházáshoz kapcsolódó költségek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_Toc11685529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25</w:t>
            </w:r>
            <w:r w:rsidR="0007366C">
              <w:rPr>
                <w:webHidden/>
              </w:rPr>
              <w:fldChar w:fldCharType="end"/>
            </w:r>
          </w:hyperlink>
        </w:p>
        <w:p w14:paraId="016731BE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0" w:history="1">
            <w:r w:rsidR="0007366C" w:rsidRPr="00A76F49">
              <w:rPr>
                <w:rStyle w:val="Hiperhivatkozs"/>
              </w:rPr>
              <w:t>IV.3.3. Szakmai megvalósításhoz kapcsolódó szolgáltatások költségei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_Toc11685530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28</w:t>
            </w:r>
            <w:r w:rsidR="0007366C">
              <w:rPr>
                <w:webHidden/>
              </w:rPr>
              <w:fldChar w:fldCharType="end"/>
            </w:r>
          </w:hyperlink>
        </w:p>
        <w:p w14:paraId="6EEBE770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1" w:history="1">
            <w:r w:rsidR="0007366C" w:rsidRPr="00A76F49">
              <w:rPr>
                <w:rStyle w:val="Hiperhivatkozs"/>
              </w:rPr>
              <w:t>IV.3.4. Szakmai megvalósításában közreműködők költségei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_Toc11685531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30</w:t>
            </w:r>
            <w:r w:rsidR="0007366C">
              <w:rPr>
                <w:webHidden/>
              </w:rPr>
              <w:fldChar w:fldCharType="end"/>
            </w:r>
          </w:hyperlink>
        </w:p>
        <w:p w14:paraId="6B1AB457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2" w:history="1">
            <w:r w:rsidR="0007366C" w:rsidRPr="00A76F49">
              <w:rPr>
                <w:rStyle w:val="Hiperhivatkozs"/>
              </w:rPr>
              <w:t>IV.3.5</w:t>
            </w:r>
            <w:r w:rsidR="0007366C" w:rsidRPr="00A76F49">
              <w:rPr>
                <w:rStyle w:val="Hiperhivatkozs"/>
                <w:lang w:eastAsia="hu-HU"/>
              </w:rPr>
              <w:t>. Szakmai megvalósításhoz kapcsolódó egyéb költségek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_Toc11685532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33</w:t>
            </w:r>
            <w:r w:rsidR="0007366C">
              <w:rPr>
                <w:webHidden/>
              </w:rPr>
              <w:fldChar w:fldCharType="end"/>
            </w:r>
          </w:hyperlink>
        </w:p>
        <w:p w14:paraId="7A854E56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3" w:history="1">
            <w:r w:rsidR="0007366C" w:rsidRPr="00A76F49">
              <w:rPr>
                <w:rStyle w:val="Hiperhivatkozs"/>
              </w:rPr>
              <w:t>IV.3.6</w:t>
            </w:r>
            <w:r w:rsidR="0007366C" w:rsidRPr="00A76F49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_Toc11685533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33</w:t>
            </w:r>
            <w:r w:rsidR="0007366C">
              <w:rPr>
                <w:webHidden/>
              </w:rPr>
              <w:fldChar w:fldCharType="end"/>
            </w:r>
          </w:hyperlink>
        </w:p>
        <w:p w14:paraId="671B2643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4" w:history="1">
            <w:r w:rsidR="0007366C" w:rsidRPr="00A76F49">
              <w:rPr>
                <w:rStyle w:val="Hiperhivatkozs"/>
              </w:rPr>
              <w:t>IV.3.7. Projektmenedzsment költségek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_Toc11685534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33</w:t>
            </w:r>
            <w:r w:rsidR="0007366C">
              <w:rPr>
                <w:webHidden/>
              </w:rPr>
              <w:fldChar w:fldCharType="end"/>
            </w:r>
          </w:hyperlink>
        </w:p>
        <w:p w14:paraId="1797BD45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35" w:history="1">
            <w:r w:rsidR="0007366C" w:rsidRPr="00A76F49">
              <w:rPr>
                <w:rStyle w:val="Hiperhivatkozs"/>
              </w:rPr>
              <w:t>IV.3.8. Közvetett költség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_Toc11685535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34</w:t>
            </w:r>
            <w:r w:rsidR="0007366C">
              <w:rPr>
                <w:webHidden/>
              </w:rPr>
              <w:fldChar w:fldCharType="end"/>
            </w:r>
          </w:hyperlink>
        </w:p>
        <w:p w14:paraId="3344CD3E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36" w:history="1">
            <w:r w:rsidR="0007366C" w:rsidRPr="00A76F49">
              <w:rPr>
                <w:rStyle w:val="Hiperhivatkozs"/>
              </w:rPr>
              <w:t>IV.4. A projekt végrehajtás további szabályai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_Toc11685536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35</w:t>
            </w:r>
            <w:r w:rsidR="0007366C">
              <w:rPr>
                <w:webHidden/>
              </w:rPr>
              <w:fldChar w:fldCharType="end"/>
            </w:r>
          </w:hyperlink>
        </w:p>
        <w:p w14:paraId="7182A0CE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37" w:history="1">
            <w:r w:rsidR="0007366C" w:rsidRPr="00A76F49">
              <w:rPr>
                <w:rStyle w:val="Hiperhivatkozs"/>
              </w:rPr>
              <w:t>IV.5. Nem elszámolható költségek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_Toc11685537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35</w:t>
            </w:r>
            <w:r w:rsidR="0007366C">
              <w:rPr>
                <w:webHidden/>
              </w:rPr>
              <w:fldChar w:fldCharType="end"/>
            </w:r>
          </w:hyperlink>
        </w:p>
        <w:p w14:paraId="3B600482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38" w:history="1">
            <w:r w:rsidR="0007366C" w:rsidRPr="00A76F49">
              <w:rPr>
                <w:rStyle w:val="Hiperhivatkozs"/>
              </w:rPr>
              <w:t>IV.6. Bevételek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_Toc11685538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36</w:t>
            </w:r>
            <w:r w:rsidR="0007366C">
              <w:rPr>
                <w:webHidden/>
              </w:rPr>
              <w:fldChar w:fldCharType="end"/>
            </w:r>
          </w:hyperlink>
        </w:p>
        <w:p w14:paraId="6D99CADD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39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_Toc11685539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37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40085FBE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0" w:history="1">
            <w:r w:rsidR="0007366C" w:rsidRPr="00A76F49">
              <w:rPr>
                <w:rStyle w:val="Hiperhivatkozs"/>
              </w:rPr>
              <w:t>V.1 Értékelési szempontrendszer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_Toc11685540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37</w:t>
            </w:r>
            <w:r w:rsidR="0007366C">
              <w:rPr>
                <w:webHidden/>
              </w:rPr>
              <w:fldChar w:fldCharType="end"/>
            </w:r>
          </w:hyperlink>
        </w:p>
        <w:p w14:paraId="1C4DE5C0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1" w:history="1">
            <w:r w:rsidR="0007366C" w:rsidRPr="00A76F49">
              <w:rPr>
                <w:rStyle w:val="Hiperhivatkozs"/>
              </w:rPr>
              <w:t>V.2 Nem támogatható a pályázat, amennyiben: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_Toc11685541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44</w:t>
            </w:r>
            <w:r w:rsidR="0007366C">
              <w:rPr>
                <w:webHidden/>
              </w:rPr>
              <w:fldChar w:fldCharType="end"/>
            </w:r>
          </w:hyperlink>
        </w:p>
        <w:p w14:paraId="7373B589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2" w:history="1">
            <w:r w:rsidR="0007366C" w:rsidRPr="00A76F49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_Toc11685542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45</w:t>
            </w:r>
            <w:r w:rsidR="0007366C">
              <w:rPr>
                <w:webHidden/>
              </w:rPr>
              <w:fldChar w:fldCharType="end"/>
            </w:r>
          </w:hyperlink>
        </w:p>
        <w:p w14:paraId="39085137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3" w:history="1">
            <w:r w:rsidR="0007366C" w:rsidRPr="00A76F49">
              <w:rPr>
                <w:rStyle w:val="Hiperhivatkozs"/>
              </w:rPr>
              <w:t>V.4. Hiánypótlás, tisztázó kérdés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_Toc11685543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45</w:t>
            </w:r>
            <w:r w:rsidR="0007366C">
              <w:rPr>
                <w:webHidden/>
              </w:rPr>
              <w:fldChar w:fldCharType="end"/>
            </w:r>
          </w:hyperlink>
        </w:p>
        <w:p w14:paraId="0F207BFB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44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_Toc11685544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46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6C410D38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5" w:history="1">
            <w:r w:rsidR="0007366C" w:rsidRPr="00A76F49">
              <w:rPr>
                <w:rStyle w:val="Hiperhivatkozs"/>
              </w:rPr>
              <w:t>VI.1. Ellenőrzési tevékenységek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_Toc11685545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46</w:t>
            </w:r>
            <w:r w:rsidR="0007366C">
              <w:rPr>
                <w:webHidden/>
              </w:rPr>
              <w:fldChar w:fldCharType="end"/>
            </w:r>
          </w:hyperlink>
        </w:p>
        <w:p w14:paraId="16A510A9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46" w:history="1">
            <w:r w:rsidR="0007366C" w:rsidRPr="00A76F49">
              <w:rPr>
                <w:rStyle w:val="Hiperhivatkozs"/>
              </w:rPr>
              <w:t>VI.1.1. A Felelős Hatóság ellenőrző tevékenysége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_Toc11685546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46</w:t>
            </w:r>
            <w:r w:rsidR="0007366C">
              <w:rPr>
                <w:webHidden/>
              </w:rPr>
              <w:fldChar w:fldCharType="end"/>
            </w:r>
          </w:hyperlink>
        </w:p>
        <w:p w14:paraId="557CEBD9" w14:textId="77777777" w:rsidR="0007366C" w:rsidRDefault="00F00561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547" w:history="1">
            <w:r w:rsidR="0007366C" w:rsidRPr="00A76F49">
              <w:rPr>
                <w:rStyle w:val="Hiperhivatkozs"/>
              </w:rPr>
              <w:t>VI.1.2. Egyéb szervezetek ellenőrző tevékenysége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_Toc11685547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48</w:t>
            </w:r>
            <w:r w:rsidR="0007366C">
              <w:rPr>
                <w:webHidden/>
              </w:rPr>
              <w:fldChar w:fldCharType="end"/>
            </w:r>
          </w:hyperlink>
        </w:p>
        <w:p w14:paraId="3470D679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8" w:history="1">
            <w:r w:rsidR="0007366C" w:rsidRPr="00A76F49">
              <w:rPr>
                <w:rStyle w:val="Hiperhivatkozs"/>
              </w:rPr>
              <w:t>VI.2. Adatszolgáltatási kötelezettség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_Toc11685548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48</w:t>
            </w:r>
            <w:r w:rsidR="0007366C">
              <w:rPr>
                <w:webHidden/>
              </w:rPr>
              <w:fldChar w:fldCharType="end"/>
            </w:r>
          </w:hyperlink>
        </w:p>
        <w:p w14:paraId="67E0B659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49" w:history="1">
            <w:r w:rsidR="0007366C" w:rsidRPr="00A76F49">
              <w:rPr>
                <w:rStyle w:val="Hiperhivatkozs"/>
              </w:rPr>
              <w:t>VI.3. Láthatóság és disszemináció biztosítása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_Toc11685549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49</w:t>
            </w:r>
            <w:r w:rsidR="0007366C">
              <w:rPr>
                <w:webHidden/>
              </w:rPr>
              <w:fldChar w:fldCharType="end"/>
            </w:r>
          </w:hyperlink>
        </w:p>
        <w:p w14:paraId="32C05EBB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50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_Toc11685550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49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18FF0314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1" w:history="1">
            <w:r w:rsidR="0007366C" w:rsidRPr="00A76F49">
              <w:rPr>
                <w:rStyle w:val="Hiperhivatkozs"/>
              </w:rPr>
              <w:t>VII.1 Betekintési jog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_Toc11685551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49</w:t>
            </w:r>
            <w:r w:rsidR="0007366C">
              <w:rPr>
                <w:webHidden/>
              </w:rPr>
              <w:fldChar w:fldCharType="end"/>
            </w:r>
          </w:hyperlink>
        </w:p>
        <w:p w14:paraId="0A25D343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2" w:history="1">
            <w:r w:rsidR="0007366C" w:rsidRPr="00A76F49">
              <w:rPr>
                <w:rStyle w:val="Hiperhivatkozs"/>
              </w:rPr>
              <w:t>VII.2. Kifogás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_Toc11685552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49</w:t>
            </w:r>
            <w:r w:rsidR="0007366C">
              <w:rPr>
                <w:webHidden/>
              </w:rPr>
              <w:fldChar w:fldCharType="end"/>
            </w:r>
          </w:hyperlink>
        </w:p>
        <w:p w14:paraId="68265F45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3" w:history="1">
            <w:r w:rsidR="0007366C" w:rsidRPr="00A76F49">
              <w:rPr>
                <w:rStyle w:val="Hiperhivatkozs"/>
              </w:rPr>
              <w:t>VII.3. A Támogatási Szerződés megkötésének módja, feltételei (biztosítékok)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_Toc11685553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50</w:t>
            </w:r>
            <w:r w:rsidR="0007366C">
              <w:rPr>
                <w:webHidden/>
              </w:rPr>
              <w:fldChar w:fldCharType="end"/>
            </w:r>
          </w:hyperlink>
        </w:p>
        <w:p w14:paraId="2321C12B" w14:textId="77777777" w:rsidR="0007366C" w:rsidRDefault="00F0056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554" w:history="1">
            <w:r w:rsidR="0007366C" w:rsidRPr="00A76F49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07366C">
              <w:rPr>
                <w:noProof/>
                <w:webHidden/>
              </w:rPr>
              <w:tab/>
            </w:r>
            <w:r w:rsidR="0007366C">
              <w:rPr>
                <w:noProof/>
                <w:webHidden/>
              </w:rPr>
              <w:fldChar w:fldCharType="begin"/>
            </w:r>
            <w:r w:rsidR="0007366C">
              <w:rPr>
                <w:noProof/>
                <w:webHidden/>
              </w:rPr>
              <w:instrText xml:space="preserve"> PAGEREF _Toc11685554 \h </w:instrText>
            </w:r>
            <w:r w:rsidR="0007366C">
              <w:rPr>
                <w:noProof/>
                <w:webHidden/>
              </w:rPr>
            </w:r>
            <w:r w:rsidR="0007366C">
              <w:rPr>
                <w:noProof/>
                <w:webHidden/>
              </w:rPr>
              <w:fldChar w:fldCharType="separate"/>
            </w:r>
            <w:r w:rsidR="0007366C">
              <w:rPr>
                <w:noProof/>
                <w:webHidden/>
              </w:rPr>
              <w:t>51</w:t>
            </w:r>
            <w:r w:rsidR="0007366C">
              <w:rPr>
                <w:noProof/>
                <w:webHidden/>
              </w:rPr>
              <w:fldChar w:fldCharType="end"/>
            </w:r>
          </w:hyperlink>
        </w:p>
        <w:p w14:paraId="60FC6610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5" w:history="1">
            <w:r w:rsidR="0007366C" w:rsidRPr="00A76F49">
              <w:rPr>
                <w:rStyle w:val="Hiperhivatkozs"/>
              </w:rPr>
              <w:t>VIII.1. Támogatási Szerződés minta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_Toc11685555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51</w:t>
            </w:r>
            <w:r w:rsidR="0007366C">
              <w:rPr>
                <w:webHidden/>
              </w:rPr>
              <w:fldChar w:fldCharType="end"/>
            </w:r>
          </w:hyperlink>
        </w:p>
        <w:p w14:paraId="4DE44CAD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6" w:history="1">
            <w:r w:rsidR="0007366C" w:rsidRPr="00A76F49">
              <w:rPr>
                <w:rStyle w:val="Hiperhivatkozs"/>
              </w:rPr>
              <w:t>VIII.2. Az Általános Szerződési Feltételek dokumentuma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_Toc11685556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51</w:t>
            </w:r>
            <w:r w:rsidR="0007366C">
              <w:rPr>
                <w:webHidden/>
              </w:rPr>
              <w:fldChar w:fldCharType="end"/>
            </w:r>
          </w:hyperlink>
        </w:p>
        <w:p w14:paraId="4A5E7305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7" w:history="1">
            <w:r w:rsidR="0007366C" w:rsidRPr="00A76F49">
              <w:rPr>
                <w:rStyle w:val="Hiperhivatkozs"/>
              </w:rPr>
              <w:t>VIII.3. Választható indikátorok listája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_Toc11685557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52</w:t>
            </w:r>
            <w:r w:rsidR="0007366C">
              <w:rPr>
                <w:webHidden/>
              </w:rPr>
              <w:fldChar w:fldCharType="end"/>
            </w:r>
          </w:hyperlink>
        </w:p>
        <w:p w14:paraId="246F6F6B" w14:textId="77777777" w:rsidR="0007366C" w:rsidRDefault="00F00561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558" w:history="1">
            <w:r w:rsidR="0007366C" w:rsidRPr="00A76F49">
              <w:rPr>
                <w:rStyle w:val="Hiperhivatkozs"/>
              </w:rPr>
              <w:t>VIII.4. Pályázat adattartalma</w:t>
            </w:r>
            <w:r w:rsidR="0007366C">
              <w:rPr>
                <w:webHidden/>
              </w:rPr>
              <w:tab/>
            </w:r>
            <w:r w:rsidR="0007366C">
              <w:rPr>
                <w:webHidden/>
              </w:rPr>
              <w:fldChar w:fldCharType="begin"/>
            </w:r>
            <w:r w:rsidR="0007366C">
              <w:rPr>
                <w:webHidden/>
              </w:rPr>
              <w:instrText xml:space="preserve"> PAGEREF _Toc11685558 \h </w:instrText>
            </w:r>
            <w:r w:rsidR="0007366C">
              <w:rPr>
                <w:webHidden/>
              </w:rPr>
            </w:r>
            <w:r w:rsidR="0007366C">
              <w:rPr>
                <w:webHidden/>
              </w:rPr>
              <w:fldChar w:fldCharType="separate"/>
            </w:r>
            <w:r w:rsidR="0007366C">
              <w:rPr>
                <w:webHidden/>
              </w:rPr>
              <w:t>54</w:t>
            </w:r>
            <w:r w:rsidR="0007366C">
              <w:rPr>
                <w:webHidden/>
              </w:rPr>
              <w:fldChar w:fldCharType="end"/>
            </w:r>
          </w:hyperlink>
        </w:p>
        <w:p w14:paraId="1F4E6AF4" w14:textId="52E29998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50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5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5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>kére</w:t>
      </w:r>
      <w:r w:rsidRPr="003403AF">
        <w:rPr>
          <w:rFonts w:ascii="Times New Roman" w:hAnsi="Times New Roman"/>
          <w:sz w:val="24"/>
          <w:szCs w:val="24"/>
        </w:rPr>
        <w:t xml:space="preserve">lmek </w:t>
      </w:r>
      <w:r w:rsidRPr="003403AF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3403AF">
        <w:rPr>
          <w:rFonts w:ascii="Times New Roman" w:hAnsi="Times New Roman"/>
          <w:b/>
          <w:bCs/>
          <w:sz w:val="24"/>
          <w:szCs w:val="24"/>
        </w:rPr>
        <w:t>9</w:t>
      </w:r>
      <w:r w:rsidRPr="0034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3403AF">
        <w:rPr>
          <w:rFonts w:ascii="Times New Roman" w:hAnsi="Times New Roman"/>
          <w:b/>
          <w:bCs/>
          <w:sz w:val="24"/>
          <w:szCs w:val="24"/>
        </w:rPr>
        <w:t>augusztus 29-én</w:t>
      </w:r>
      <w:r w:rsidRPr="003403AF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6253BDFD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4A5366">
        <w:rPr>
          <w:rFonts w:ascii="Times New Roman" w:hAnsi="Times New Roman"/>
          <w:sz w:val="24"/>
          <w:szCs w:val="24"/>
          <w:lang w:eastAsia="fr-BE"/>
        </w:rPr>
        <w:t>2019</w:t>
      </w:r>
      <w:r w:rsidRPr="004A5366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4A5366">
        <w:rPr>
          <w:rFonts w:ascii="Times New Roman" w:hAnsi="Times New Roman"/>
          <w:sz w:val="24"/>
          <w:szCs w:val="24"/>
          <w:lang w:eastAsia="fr-BE"/>
        </w:rPr>
        <w:t>I</w:t>
      </w:r>
      <w:r w:rsidRPr="004A5366">
        <w:rPr>
          <w:rFonts w:ascii="Times New Roman" w:hAnsi="Times New Roman"/>
          <w:sz w:val="24"/>
          <w:szCs w:val="24"/>
          <w:lang w:eastAsia="fr-BE"/>
        </w:rPr>
        <w:t>. félév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5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1F3215C3" w14:textId="77777777" w:rsidR="00F3582B" w:rsidRDefault="00F00561" w:rsidP="00F3582B">
      <w:hyperlink r:id="rId20" w:history="1">
        <w:r w:rsidR="00F3582B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5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5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094FF766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3403AF" w:rsidRPr="003403AF">
        <w:rPr>
          <w:rFonts w:ascii="Times New Roman" w:hAnsi="Times New Roman"/>
          <w:b/>
          <w:noProof/>
          <w:sz w:val="24"/>
          <w:szCs w:val="24"/>
        </w:rPr>
        <w:t xml:space="preserve">200 000 000 </w:t>
      </w:r>
      <w:r w:rsidRPr="003403AF">
        <w:rPr>
          <w:rFonts w:ascii="Times New Roman" w:hAnsi="Times New Roman"/>
          <w:b/>
          <w:noProof/>
          <w:sz w:val="24"/>
          <w:szCs w:val="24"/>
        </w:rPr>
        <w:t>Ft</w:t>
      </w:r>
      <w:r w:rsidRPr="003403AF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F00561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0F5E0385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E43D22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010EE979" w:rsidR="0032087D" w:rsidRPr="004A5366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4A5366" w:rsidRPr="004A5366">
        <w:rPr>
          <w:rFonts w:ascii="Times New Roman" w:hAnsi="Times New Roman"/>
          <w:b/>
          <w:sz w:val="24"/>
          <w:szCs w:val="24"/>
        </w:rPr>
        <w:t>10 000 </w:t>
      </w:r>
      <w:proofErr w:type="spellStart"/>
      <w:r w:rsidR="004A5366" w:rsidRPr="004A5366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4A5366" w:rsidRPr="004A5366">
        <w:rPr>
          <w:rFonts w:ascii="Times New Roman" w:hAnsi="Times New Roman"/>
          <w:b/>
          <w:sz w:val="24"/>
          <w:szCs w:val="24"/>
        </w:rPr>
        <w:t xml:space="preserve"> </w:t>
      </w:r>
      <w:r w:rsidRPr="004A5366">
        <w:rPr>
          <w:rFonts w:ascii="Times New Roman" w:hAnsi="Times New Roman"/>
          <w:b/>
          <w:sz w:val="24"/>
          <w:szCs w:val="24"/>
        </w:rPr>
        <w:t>HUF</w:t>
      </w:r>
    </w:p>
    <w:p w14:paraId="659158EF" w14:textId="7A649541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4A5366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4A5366" w:rsidRPr="004A5366">
        <w:rPr>
          <w:rFonts w:ascii="Times New Roman" w:hAnsi="Times New Roman"/>
          <w:b/>
          <w:sz w:val="24"/>
          <w:szCs w:val="24"/>
          <w:lang w:eastAsia="fr-BE"/>
        </w:rPr>
        <w:t xml:space="preserve">200 000 </w:t>
      </w:r>
      <w:proofErr w:type="spellStart"/>
      <w:r w:rsidR="004A5366" w:rsidRPr="004A5366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5435FD" w:rsidRPr="004A5366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4A5366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515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5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5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6539F2A0" w14:textId="77777777" w:rsidR="004A5366" w:rsidRDefault="004A5366" w:rsidP="004A5366">
      <w:pPr>
        <w:pStyle w:val="CM4"/>
        <w:suppressAutoHyphens/>
        <w:spacing w:before="60" w:after="60"/>
        <w:jc w:val="both"/>
        <w:rPr>
          <w:rFonts w:ascii="Times New Roman" w:hAnsi="Times New Roman"/>
          <w:lang w:eastAsia="fr-BE"/>
        </w:rPr>
      </w:pPr>
      <w:r w:rsidRPr="00554776">
        <w:rPr>
          <w:rFonts w:ascii="Times New Roman" w:hAnsi="Times New Roman"/>
          <w:lang w:eastAsia="fr-BE"/>
        </w:rPr>
        <w:t>A súlyos és szervezet</w:t>
      </w:r>
      <w:r>
        <w:rPr>
          <w:rFonts w:ascii="Times New Roman" w:hAnsi="Times New Roman"/>
          <w:lang w:eastAsia="fr-BE"/>
        </w:rPr>
        <w:t>t</w:t>
      </w:r>
      <w:r w:rsidRPr="00554776">
        <w:rPr>
          <w:rFonts w:ascii="Times New Roman" w:hAnsi="Times New Roman"/>
          <w:lang w:eastAsia="fr-BE"/>
        </w:rPr>
        <w:t xml:space="preserve"> bűncselekmények jelenségéhez kapcsolódóan a tár</w:t>
      </w:r>
      <w:r w:rsidRPr="003A5FBB">
        <w:rPr>
          <w:rFonts w:ascii="Times New Roman" w:hAnsi="Times New Roman"/>
          <w:lang w:eastAsia="fr-BE"/>
        </w:rPr>
        <w:t xml:space="preserve">sadalmi tudatosság növelése, </w:t>
      </w:r>
      <w:r>
        <w:rPr>
          <w:rFonts w:ascii="Times New Roman" w:hAnsi="Times New Roman"/>
          <w:lang w:eastAsia="fr-BE"/>
        </w:rPr>
        <w:t xml:space="preserve">a társadalom </w:t>
      </w:r>
      <w:r w:rsidRPr="003A5FBB">
        <w:rPr>
          <w:rFonts w:ascii="Times New Roman" w:hAnsi="Times New Roman"/>
          <w:lang w:eastAsia="fr-BE"/>
        </w:rPr>
        <w:t xml:space="preserve">érzékenyítése, valamint szakemberek ismeretbővítése </w:t>
      </w:r>
      <w:r w:rsidRPr="00CF5FAC">
        <w:rPr>
          <w:rFonts w:ascii="Times New Roman" w:hAnsi="Times New Roman"/>
          <w:lang w:eastAsia="fr-BE"/>
        </w:rPr>
        <w:t>érdekében prevenciós programok megvalósítása,</w:t>
      </w:r>
      <w:r w:rsidRPr="001C2385">
        <w:rPr>
          <w:rFonts w:ascii="Times New Roman" w:hAnsi="Times New Roman"/>
          <w:lang w:eastAsia="fr-BE"/>
        </w:rPr>
        <w:t xml:space="preserve"> felvilágosító és kommunikációs tevékenység szervezése az a</w:t>
      </w:r>
      <w:r w:rsidRPr="00D32120">
        <w:rPr>
          <w:rFonts w:ascii="Times New Roman" w:hAnsi="Times New Roman"/>
          <w:lang w:eastAsia="fr-BE"/>
        </w:rPr>
        <w:t>lábbi szakterületeket illetően egy/több területet érintően:</w:t>
      </w:r>
    </w:p>
    <w:p w14:paraId="7B1DC587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 xml:space="preserve">terrorizmus, </w:t>
      </w:r>
      <w:proofErr w:type="spellStart"/>
      <w:r w:rsidRPr="004A5366">
        <w:rPr>
          <w:rFonts w:ascii="Times New Roman" w:hAnsi="Times New Roman"/>
          <w:sz w:val="24"/>
          <w:szCs w:val="24"/>
        </w:rPr>
        <w:t>radikalizáció</w:t>
      </w:r>
      <w:proofErr w:type="spellEnd"/>
      <w:r w:rsidRPr="004A5366">
        <w:rPr>
          <w:rFonts w:ascii="Times New Roman" w:hAnsi="Times New Roman"/>
          <w:sz w:val="24"/>
          <w:szCs w:val="24"/>
        </w:rPr>
        <w:t>, extrémizmus, polarizáció;</w:t>
      </w:r>
    </w:p>
    <w:p w14:paraId="402FD157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 xml:space="preserve">kábítószer-kereskedelem, </w:t>
      </w:r>
      <w:proofErr w:type="spellStart"/>
      <w:r w:rsidRPr="004A5366">
        <w:rPr>
          <w:rFonts w:ascii="Times New Roman" w:hAnsi="Times New Roman"/>
          <w:sz w:val="24"/>
          <w:szCs w:val="24"/>
        </w:rPr>
        <w:t>-csempészet</w:t>
      </w:r>
      <w:proofErr w:type="spellEnd"/>
      <w:r w:rsidRPr="004A5366">
        <w:rPr>
          <w:rFonts w:ascii="Times New Roman" w:hAnsi="Times New Roman"/>
          <w:sz w:val="24"/>
          <w:szCs w:val="24"/>
        </w:rPr>
        <w:t>;</w:t>
      </w:r>
    </w:p>
    <w:p w14:paraId="057ED5D8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 xml:space="preserve">fegyverkereskedelem, </w:t>
      </w:r>
      <w:proofErr w:type="spellStart"/>
      <w:r w:rsidRPr="004A5366">
        <w:rPr>
          <w:rFonts w:ascii="Times New Roman" w:hAnsi="Times New Roman"/>
          <w:sz w:val="24"/>
          <w:szCs w:val="24"/>
        </w:rPr>
        <w:t>-csempészet</w:t>
      </w:r>
      <w:proofErr w:type="spellEnd"/>
      <w:r w:rsidRPr="004A5366">
        <w:rPr>
          <w:rFonts w:ascii="Times New Roman" w:hAnsi="Times New Roman"/>
          <w:sz w:val="24"/>
          <w:szCs w:val="24"/>
        </w:rPr>
        <w:t>;</w:t>
      </w:r>
    </w:p>
    <w:p w14:paraId="6DDE6DC6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pénzmosás;</w:t>
      </w:r>
    </w:p>
    <w:p w14:paraId="09262883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gazdasági-pénzügyi nyomozások, vagyon-visszaszerzés;</w:t>
      </w:r>
    </w:p>
    <w:p w14:paraId="17ECEC81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korrupció a rendvédelem területén, illetve nemzetközi jelleggel érintett hivatali ko</w:t>
      </w:r>
      <w:r w:rsidRPr="004A5366">
        <w:rPr>
          <w:rFonts w:ascii="Times New Roman" w:hAnsi="Times New Roman"/>
          <w:sz w:val="24"/>
          <w:szCs w:val="24"/>
        </w:rPr>
        <w:t>r</w:t>
      </w:r>
      <w:r w:rsidRPr="004A5366">
        <w:rPr>
          <w:rFonts w:ascii="Times New Roman" w:hAnsi="Times New Roman"/>
          <w:sz w:val="24"/>
          <w:szCs w:val="24"/>
        </w:rPr>
        <w:t>rupció;</w:t>
      </w:r>
    </w:p>
    <w:p w14:paraId="7739CC34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fizetőeszközök hamisítása – beleértve: készpénz-helyettesítő fizetési eszközzel vissz</w:t>
      </w:r>
      <w:r w:rsidRPr="004A5366">
        <w:rPr>
          <w:rFonts w:ascii="Times New Roman" w:hAnsi="Times New Roman"/>
          <w:sz w:val="24"/>
          <w:szCs w:val="24"/>
        </w:rPr>
        <w:t>a</w:t>
      </w:r>
      <w:r w:rsidRPr="004A5366">
        <w:rPr>
          <w:rFonts w:ascii="Times New Roman" w:hAnsi="Times New Roman"/>
          <w:sz w:val="24"/>
          <w:szCs w:val="24"/>
        </w:rPr>
        <w:t xml:space="preserve">élés;  </w:t>
      </w:r>
    </w:p>
    <w:p w14:paraId="7F5BE1B2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5366">
        <w:rPr>
          <w:rFonts w:ascii="Times New Roman" w:hAnsi="Times New Roman"/>
          <w:sz w:val="24"/>
          <w:szCs w:val="24"/>
        </w:rPr>
        <w:t>cybercrime</w:t>
      </w:r>
      <w:proofErr w:type="spellEnd"/>
      <w:r w:rsidRPr="004A5366">
        <w:rPr>
          <w:rFonts w:ascii="Times New Roman" w:hAnsi="Times New Roman"/>
          <w:sz w:val="24"/>
          <w:szCs w:val="24"/>
        </w:rPr>
        <w:t xml:space="preserve"> – beleértve: </w:t>
      </w:r>
      <w:proofErr w:type="spellStart"/>
      <w:r w:rsidRPr="004A5366">
        <w:rPr>
          <w:rFonts w:ascii="Times New Roman" w:hAnsi="Times New Roman"/>
          <w:sz w:val="24"/>
          <w:szCs w:val="24"/>
        </w:rPr>
        <w:t>kiberbiztonság</w:t>
      </w:r>
      <w:proofErr w:type="spellEnd"/>
      <w:r w:rsidRPr="004A5366">
        <w:rPr>
          <w:rFonts w:ascii="Times New Roman" w:hAnsi="Times New Roman"/>
          <w:sz w:val="24"/>
          <w:szCs w:val="24"/>
        </w:rPr>
        <w:t>, gyermekek szexuális kizsákmányolása –;</w:t>
      </w:r>
    </w:p>
    <w:p w14:paraId="02EE5EC8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szervezett bűnözés egyéb formái – beleértve: embercsempészet, MTIC és jövedéki adócsalás, környezet és a természet elleni bűncselekmények;</w:t>
      </w:r>
    </w:p>
    <w:p w14:paraId="0DB6CE8A" w14:textId="77777777" w:rsidR="004A5366" w:rsidRPr="004A5366" w:rsidRDefault="004A5366" w:rsidP="004A5366">
      <w:pPr>
        <w:numPr>
          <w:ilvl w:val="0"/>
          <w:numId w:val="52"/>
        </w:numPr>
        <w:spacing w:beforeLines="60" w:before="144" w:afterLines="60" w:after="144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emberkereskedelem.</w:t>
      </w:r>
    </w:p>
    <w:p w14:paraId="391E3A3C" w14:textId="77777777" w:rsidR="004A5366" w:rsidRPr="007C0400" w:rsidRDefault="004A5366" w:rsidP="004A5366">
      <w:pPr>
        <w:pStyle w:val="Default"/>
        <w:jc w:val="both"/>
        <w:rPr>
          <w:color w:val="auto"/>
        </w:rPr>
      </w:pPr>
    </w:p>
    <w:p w14:paraId="57ACDFD2" w14:textId="77777777" w:rsidR="004A5366" w:rsidRPr="0011380A" w:rsidRDefault="004A5366" w:rsidP="004A53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11380A">
        <w:rPr>
          <w:rFonts w:ascii="Times New Roman" w:hAnsi="Times New Roman"/>
        </w:rPr>
        <w:t>Az intézkedés céljának elérése érdekében elvárás, hogy a</w:t>
      </w:r>
      <w:r w:rsidRPr="0011380A">
        <w:rPr>
          <w:rFonts w:ascii="Times New Roman" w:hAnsi="Times New Roman"/>
          <w:lang w:eastAsia="fr-BE"/>
        </w:rPr>
        <w:t xml:space="preserve"> prevenciós programok </w:t>
      </w:r>
      <w:r w:rsidRPr="0011380A">
        <w:rPr>
          <w:rFonts w:ascii="Times New Roman" w:hAnsi="Times New Roman"/>
        </w:rPr>
        <w:t xml:space="preserve">eredményeinek fenntartása a </w:t>
      </w:r>
      <w:r w:rsidRPr="0011380A">
        <w:rPr>
          <w:rFonts w:ascii="Times New Roman" w:hAnsi="Times New Roman"/>
          <w:lang w:eastAsia="fr-BE"/>
        </w:rPr>
        <w:t>projekt</w:t>
      </w:r>
      <w:r w:rsidRPr="0011380A">
        <w:rPr>
          <w:rFonts w:ascii="Times New Roman" w:hAnsi="Times New Roman"/>
        </w:rPr>
        <w:t xml:space="preserve"> zárását követő legalább két év időtartamban biztosított legyen. </w:t>
      </w:r>
    </w:p>
    <w:p w14:paraId="48FED9A4" w14:textId="507DA5BC" w:rsidR="0032087D" w:rsidRDefault="004A5366" w:rsidP="004A53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11380A">
        <w:rPr>
          <w:rFonts w:ascii="Times New Roman" w:hAnsi="Times New Roman"/>
        </w:rPr>
        <w:t>További elvárás, hogy – amennyiben a pályázó nem igazságügyi és rendészeti szerv – a szakmai fejlesztés az adott szakterületen szakismerettel bíró hatósági partner bevonása mellett kerüljön végrehajtá</w:t>
      </w:r>
      <w:r>
        <w:rPr>
          <w:rFonts w:ascii="Times New Roman" w:hAnsi="Times New Roman"/>
        </w:rPr>
        <w:t>sra.</w:t>
      </w:r>
    </w:p>
    <w:p w14:paraId="7F4C08F7" w14:textId="77777777" w:rsidR="004A5366" w:rsidRPr="004A5366" w:rsidRDefault="004A5366" w:rsidP="004A5366"/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71210C0E" w14:textId="55207027" w:rsidR="004A5366" w:rsidRPr="004A5366" w:rsidRDefault="004A5366" w:rsidP="004A5366">
      <w:pPr>
        <w:numPr>
          <w:ilvl w:val="0"/>
          <w:numId w:val="6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eastAsia="fr-BE"/>
        </w:rPr>
        <w:t>o</w:t>
      </w:r>
      <w:r>
        <w:rPr>
          <w:rFonts w:ascii="Times New Roman" w:hAnsi="Times New Roman"/>
          <w:lang w:eastAsia="fr-BE"/>
        </w:rPr>
        <w:t>n-</w:t>
      </w:r>
      <w:r w:rsidRPr="004A5366">
        <w:rPr>
          <w:rFonts w:ascii="Times New Roman" w:hAnsi="Times New Roman"/>
          <w:lang w:eastAsia="hu-HU"/>
        </w:rPr>
        <w:t xml:space="preserve">line tájékoztató </w:t>
      </w:r>
      <w:r w:rsidRPr="004A5366">
        <w:rPr>
          <w:rFonts w:ascii="Times New Roman" w:hAnsi="Times New Roman"/>
          <w:sz w:val="24"/>
          <w:szCs w:val="24"/>
        </w:rPr>
        <w:t xml:space="preserve">felületek és egyéb tájékoztató anyagok, valamint </w:t>
      </w:r>
      <w:proofErr w:type="spellStart"/>
      <w:r w:rsidRPr="004A5366">
        <w:rPr>
          <w:rFonts w:ascii="Times New Roman" w:hAnsi="Times New Roman"/>
          <w:sz w:val="24"/>
          <w:szCs w:val="24"/>
        </w:rPr>
        <w:t>disszeminációs</w:t>
      </w:r>
      <w:proofErr w:type="spellEnd"/>
      <w:r w:rsidRPr="004A5366">
        <w:rPr>
          <w:rFonts w:ascii="Times New Roman" w:hAnsi="Times New Roman"/>
          <w:sz w:val="24"/>
          <w:szCs w:val="24"/>
        </w:rPr>
        <w:t>, kommunikációs terv kidolgozása;</w:t>
      </w:r>
    </w:p>
    <w:p w14:paraId="3064A529" w14:textId="77777777" w:rsidR="004A5366" w:rsidRDefault="004A5366" w:rsidP="004A5366">
      <w:pPr>
        <w:numPr>
          <w:ilvl w:val="0"/>
          <w:numId w:val="6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lastRenderedPageBreak/>
        <w:t>a társadalmi tudatosság növelése és társadalmi érzékenyítés céljából hagyományos és on-line kampányok indítása a szervezett bűnözés veszélyeire koncentráltan;</w:t>
      </w:r>
    </w:p>
    <w:p w14:paraId="12832597" w14:textId="1D00525E" w:rsidR="004A5366" w:rsidRPr="004A5366" w:rsidRDefault="004A5366" w:rsidP="004A5366">
      <w:pPr>
        <w:numPr>
          <w:ilvl w:val="0"/>
          <w:numId w:val="6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szakemberek ismeretbővítése és érzékenyítése céljából felvilágosító és kommunikác</w:t>
      </w:r>
      <w:r w:rsidRPr="004A5366">
        <w:rPr>
          <w:rFonts w:ascii="Times New Roman" w:hAnsi="Times New Roman"/>
          <w:sz w:val="24"/>
          <w:szCs w:val="24"/>
        </w:rPr>
        <w:t>i</w:t>
      </w:r>
      <w:r w:rsidRPr="004A5366">
        <w:rPr>
          <w:rFonts w:ascii="Times New Roman" w:hAnsi="Times New Roman"/>
          <w:sz w:val="24"/>
          <w:szCs w:val="24"/>
        </w:rPr>
        <w:t>ós tevékenységek megvalósítása;</w:t>
      </w:r>
    </w:p>
    <w:p w14:paraId="7DD32781" w14:textId="78FCBA47" w:rsidR="004A5366" w:rsidRPr="0011380A" w:rsidRDefault="004A5366" w:rsidP="004A5366">
      <w:pPr>
        <w:numPr>
          <w:ilvl w:val="0"/>
          <w:numId w:val="62"/>
        </w:numPr>
        <w:spacing w:beforeLines="60" w:before="144" w:afterLines="60" w:after="144" w:line="240" w:lineRule="auto"/>
        <w:jc w:val="both"/>
        <w:rPr>
          <w:rFonts w:ascii="Times New Roman" w:hAnsi="Times New Roman"/>
          <w:lang w:eastAsia="fr-BE"/>
        </w:rPr>
      </w:pPr>
      <w:r w:rsidRPr="0011380A">
        <w:rPr>
          <w:rFonts w:ascii="Times New Roman" w:hAnsi="Times New Roman"/>
          <w:lang w:eastAsia="fr-BE"/>
        </w:rPr>
        <w:t>egyéb, a megvalósítást támogató szakmai tevékenységek (pl. tanulmánykészítés, szakértői t</w:t>
      </w:r>
      <w:r w:rsidRPr="0011380A">
        <w:rPr>
          <w:rFonts w:ascii="Times New Roman" w:hAnsi="Times New Roman"/>
          <w:lang w:eastAsia="fr-BE"/>
        </w:rPr>
        <w:t>e</w:t>
      </w:r>
      <w:r w:rsidRPr="0011380A">
        <w:rPr>
          <w:rFonts w:ascii="Times New Roman" w:hAnsi="Times New Roman"/>
          <w:lang w:eastAsia="fr-BE"/>
        </w:rPr>
        <w:t xml:space="preserve">vékenység, díjköteles adatbázisok használata, kommunikációs tevékenység keretében </w:t>
      </w:r>
      <w:r w:rsidRPr="004A5366">
        <w:rPr>
          <w:rFonts w:ascii="Times New Roman" w:hAnsi="Times New Roman"/>
          <w:sz w:val="24"/>
          <w:szCs w:val="24"/>
        </w:rPr>
        <w:t>ford</w:t>
      </w:r>
      <w:r w:rsidRPr="004A5366">
        <w:rPr>
          <w:rFonts w:ascii="Times New Roman" w:hAnsi="Times New Roman"/>
          <w:sz w:val="24"/>
          <w:szCs w:val="24"/>
        </w:rPr>
        <w:t>í</w:t>
      </w:r>
      <w:r w:rsidRPr="004A5366">
        <w:rPr>
          <w:rFonts w:ascii="Times New Roman" w:hAnsi="Times New Roman"/>
          <w:sz w:val="24"/>
          <w:szCs w:val="24"/>
        </w:rPr>
        <w:t>tás</w:t>
      </w:r>
      <w:r w:rsidRPr="0011380A">
        <w:rPr>
          <w:rFonts w:ascii="Times New Roman" w:hAnsi="Times New Roman"/>
          <w:lang w:eastAsia="fr-BE"/>
        </w:rPr>
        <w:t>, tolmácsolás).</w:t>
      </w:r>
    </w:p>
    <w:p w14:paraId="4E088888" w14:textId="77777777" w:rsidR="0032087D" w:rsidRPr="006352B7" w:rsidRDefault="0032087D" w:rsidP="00C6653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1643"/>
        <w:gridCol w:w="1378"/>
      </w:tblGrid>
      <w:tr w:rsidR="003003F5" w:rsidRPr="006A1BBB" w14:paraId="521802F6" w14:textId="77777777" w:rsidTr="004A5366">
        <w:tc>
          <w:tcPr>
            <w:tcW w:w="5910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78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4A5366" w:rsidRPr="009C7F13" w14:paraId="50F318EB" w14:textId="77777777" w:rsidTr="004A5366">
        <w:tc>
          <w:tcPr>
            <w:tcW w:w="5910" w:type="dxa"/>
            <w:shd w:val="clear" w:color="auto" w:fill="FFFFFF"/>
          </w:tcPr>
          <w:p w14:paraId="698DF205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BE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Kampányok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58AA108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32506302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4A5366" w:rsidRPr="009C7F13" w14:paraId="7F60A032" w14:textId="77777777" w:rsidTr="004A5366">
        <w:tc>
          <w:tcPr>
            <w:tcW w:w="5910" w:type="dxa"/>
            <w:shd w:val="clear" w:color="auto" w:fill="FFFFFF"/>
          </w:tcPr>
          <w:p w14:paraId="190FDD5E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 xml:space="preserve">Létrehozott </w:t>
            </w:r>
            <w:proofErr w:type="spellStart"/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disszeminációs</w:t>
            </w:r>
            <w:proofErr w:type="spellEnd"/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, kommunikációs tervek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10AC2B81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380DAADD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4A5366" w:rsidRPr="009C7F13" w14:paraId="67CC0D26" w14:textId="77777777" w:rsidTr="004A5366">
        <w:tc>
          <w:tcPr>
            <w:tcW w:w="5910" w:type="dxa"/>
            <w:shd w:val="clear" w:color="auto" w:fill="FFFFFF"/>
          </w:tcPr>
          <w:p w14:paraId="38EE9C0B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4E531D5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57B57811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  <w:tr w:rsidR="004A5366" w:rsidRPr="009C7F13" w14:paraId="4E7C3C80" w14:textId="77777777" w:rsidTr="004A5366">
        <w:tc>
          <w:tcPr>
            <w:tcW w:w="5910" w:type="dxa"/>
            <w:shd w:val="clear" w:color="auto" w:fill="FFFFFF"/>
          </w:tcPr>
          <w:p w14:paraId="1A215701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Nyomtatott tájékoztató anyagok példányszáma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C137FEF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631F9AA3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10 000</w:t>
            </w:r>
          </w:p>
        </w:tc>
      </w:tr>
      <w:tr w:rsidR="004A5366" w:rsidRPr="009C7F13" w14:paraId="585A381A" w14:textId="77777777" w:rsidTr="004A5366">
        <w:tc>
          <w:tcPr>
            <w:tcW w:w="5910" w:type="dxa"/>
            <w:shd w:val="clear" w:color="auto" w:fill="FFFFFF"/>
          </w:tcPr>
          <w:p w14:paraId="0F29D9D0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Elkészült elektronikus tájékoztató anyagok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5395B5D6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316DB234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100</w:t>
            </w:r>
          </w:p>
        </w:tc>
      </w:tr>
      <w:tr w:rsidR="004A5366" w:rsidRPr="009C7F13" w14:paraId="02DDC0EF" w14:textId="77777777" w:rsidTr="004A5366">
        <w:tc>
          <w:tcPr>
            <w:tcW w:w="5910" w:type="dxa"/>
            <w:shd w:val="clear" w:color="auto" w:fill="FFFFFF"/>
          </w:tcPr>
          <w:p w14:paraId="182714AA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Létrehozott/fejlesztett web-alapú felületek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2E5081B8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618D4004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4A5366" w:rsidRPr="009C7F13" w14:paraId="7B227161" w14:textId="77777777" w:rsidTr="004A5366">
        <w:tc>
          <w:tcPr>
            <w:tcW w:w="5910" w:type="dxa"/>
            <w:shd w:val="clear" w:color="auto" w:fill="FFFFFF"/>
          </w:tcPr>
          <w:p w14:paraId="103F3E62" w14:textId="77777777" w:rsidR="004A5366" w:rsidRPr="009C7F13" w:rsidRDefault="004A5366" w:rsidP="00B6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Kampánnyal elért személyek száma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548F9DD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378" w:type="dxa"/>
            <w:shd w:val="clear" w:color="auto" w:fill="FFFFFF"/>
            <w:vAlign w:val="center"/>
          </w:tcPr>
          <w:p w14:paraId="3BA66FF9" w14:textId="77777777" w:rsidR="004A5366" w:rsidRPr="009C7F13" w:rsidRDefault="004A5366" w:rsidP="00B6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1 000 </w:t>
            </w:r>
            <w:proofErr w:type="spellStart"/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000</w:t>
            </w:r>
            <w:proofErr w:type="spellEnd"/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5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 Belső Biztonsági Alap részét képező, a külső határok és a vízumügy pénzügyi támogatására szolgáló eszköz létrehozásáról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51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5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79D6C337" w14:textId="351C58FE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egyesület, a párt kivételével,</w:t>
      </w:r>
    </w:p>
    <w:p w14:paraId="3F0C1D5A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köztestület,</w:t>
      </w:r>
    </w:p>
    <w:p w14:paraId="4ECECFA6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egyházi jogi személy,</w:t>
      </w:r>
    </w:p>
    <w:p w14:paraId="6F00F7DB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alapítvány,</w:t>
      </w:r>
    </w:p>
    <w:p w14:paraId="1331839F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közalapítvány,</w:t>
      </w:r>
    </w:p>
    <w:p w14:paraId="6D93365D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szövetkezet,</w:t>
      </w:r>
    </w:p>
    <w:p w14:paraId="43997230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jogi személyiséggel rendelkező egyéb szervezet,</w:t>
      </w:r>
    </w:p>
    <w:p w14:paraId="70BE848F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helyi önkormányzat,</w:t>
      </w:r>
    </w:p>
    <w:p w14:paraId="57F05C15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nemzetiségi önkormányzat,</w:t>
      </w:r>
    </w:p>
    <w:p w14:paraId="3B096E77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önkormányzati társulás,</w:t>
      </w:r>
    </w:p>
    <w:p w14:paraId="73DFA717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költségvetési szerv,</w:t>
      </w:r>
    </w:p>
    <w:p w14:paraId="661A11B8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nemzetközi szervezet,</w:t>
      </w:r>
    </w:p>
    <w:p w14:paraId="11269D22" w14:textId="77777777" w:rsidR="004A5366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kormányközi szervezet és</w:t>
      </w:r>
    </w:p>
    <w:p w14:paraId="4D0279A3" w14:textId="48883E0E" w:rsidR="007D2C57" w:rsidRPr="004A5366" w:rsidRDefault="004A5366" w:rsidP="00AC2AE2">
      <w:pPr>
        <w:numPr>
          <w:ilvl w:val="0"/>
          <w:numId w:val="63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5366">
        <w:rPr>
          <w:rFonts w:ascii="Times New Roman" w:hAnsi="Times New Roman"/>
          <w:sz w:val="24"/>
          <w:szCs w:val="24"/>
        </w:rPr>
        <w:t>gazdasági társaság a projekt nonprofit módon történő végrehajtása esetén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 xml:space="preserve">i, hogy az azokban foglalt feltételeknek és </w:t>
      </w:r>
      <w:r w:rsidRPr="00BA439D">
        <w:rPr>
          <w:rFonts w:ascii="Times New Roman" w:hAnsi="Times New Roman"/>
          <w:sz w:val="24"/>
          <w:szCs w:val="24"/>
        </w:rPr>
        <w:lastRenderedPageBreak/>
        <w:t>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</w:t>
      </w:r>
      <w:r>
        <w:rPr>
          <w:rFonts w:ascii="Times New Roman" w:hAnsi="Times New Roman"/>
          <w:sz w:val="24"/>
          <w:szCs w:val="24"/>
        </w:rPr>
        <w:lastRenderedPageBreak/>
        <w:t xml:space="preserve">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5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52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5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5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52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5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2A05987A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F00561" w:rsidRPr="00F00561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7E0D7369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F00561">
        <w:rPr>
          <w:rFonts w:ascii="Times New Roman" w:hAnsi="Times New Roman"/>
          <w:sz w:val="24"/>
          <w:szCs w:val="24"/>
        </w:rPr>
        <w:t>útmutató</w:t>
      </w:r>
      <w:r w:rsidR="00F00561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535BB25E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F00561">
        <w:rPr>
          <w:rFonts w:ascii="Times New Roman" w:hAnsi="Times New Roman"/>
          <w:sz w:val="24"/>
          <w:szCs w:val="24"/>
        </w:rPr>
        <w:t>útmutató</w:t>
      </w:r>
      <w:r w:rsidR="00F00561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77A11F3D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F00561">
        <w:rPr>
          <w:rFonts w:ascii="Times New Roman" w:hAnsi="Times New Roman"/>
          <w:sz w:val="24"/>
          <w:szCs w:val="24"/>
        </w:rPr>
        <w:t>útmutató</w:t>
      </w:r>
      <w:r w:rsidR="00F00561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5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377048F3" w14:textId="69AB6F09" w:rsidR="00280347" w:rsidRPr="000F779B" w:rsidRDefault="00280347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5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5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02A2BADB" w:rsidR="0032087D" w:rsidRPr="00D9380C" w:rsidRDefault="003C0595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5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5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5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5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66E3197B" w14:textId="77777777" w:rsidR="003D4FC4" w:rsidRDefault="003D4FC4" w:rsidP="003D4FC4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3155646B" w14:textId="77777777" w:rsidR="003D4FC4" w:rsidRPr="009B0CCD" w:rsidRDefault="003D4FC4" w:rsidP="003D4FC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33FA2374" w14:textId="77777777" w:rsidR="003D4FC4" w:rsidRDefault="003D4FC4" w:rsidP="003D4FC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7339188A" w14:textId="77777777" w:rsidR="003D4FC4" w:rsidRPr="0068357C" w:rsidRDefault="003D4FC4" w:rsidP="003D4FC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5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5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5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53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53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5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5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5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5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5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5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5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5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4CA6A140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F00561">
        <w:rPr>
          <w:rFonts w:ascii="Times New Roman" w:hAnsi="Times New Roman"/>
          <w:sz w:val="24"/>
          <w:szCs w:val="24"/>
        </w:rPr>
        <w:t>útmutató</w:t>
      </w:r>
      <w:r w:rsidR="00F00561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F00561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5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5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54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310D8AA5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 „B</w:t>
      </w:r>
      <w:r w:rsidR="003B1360">
        <w:rPr>
          <w:rFonts w:ascii="Times New Roman" w:hAnsi="Times New Roman"/>
          <w:sz w:val="24"/>
          <w:szCs w:val="24"/>
        </w:rPr>
        <w:t xml:space="preserve">elügyi Alapok Kedvezményezettek </w:t>
      </w:r>
      <w:r w:rsidRPr="003B1360">
        <w:rPr>
          <w:rFonts w:ascii="Times New Roman" w:hAnsi="Times New Roman"/>
          <w:sz w:val="24"/>
          <w:szCs w:val="24"/>
        </w:rPr>
        <w:t>Tájékoztatási Kötelezettségei”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5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5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5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5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5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5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5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5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8470"/>
      </w:tblGrid>
      <w:tr w:rsidR="006352B7" w:rsidRPr="00905E2F" w14:paraId="777753D9" w14:textId="77777777" w:rsidTr="00F00E6A">
        <w:tc>
          <w:tcPr>
            <w:tcW w:w="3681" w:type="dxa"/>
            <w:vAlign w:val="center"/>
          </w:tcPr>
          <w:p w14:paraId="5767A15C" w14:textId="77777777" w:rsidR="006352B7" w:rsidRPr="00905E2F" w:rsidRDefault="006352B7" w:rsidP="00AD2C3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1843" w:type="dxa"/>
            <w:vAlign w:val="center"/>
          </w:tcPr>
          <w:p w14:paraId="3DA61878" w14:textId="77777777" w:rsidR="006352B7" w:rsidRPr="00905E2F" w:rsidRDefault="006352B7" w:rsidP="00AD2C3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470" w:type="dxa"/>
            <w:vAlign w:val="center"/>
          </w:tcPr>
          <w:p w14:paraId="28058977" w14:textId="77777777" w:rsidR="006352B7" w:rsidRPr="00905E2F" w:rsidRDefault="006352B7" w:rsidP="00AD2C3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B60DCB" w:rsidRPr="00905E2F" w14:paraId="51A38EB9" w14:textId="77777777" w:rsidTr="00F00E6A">
        <w:tc>
          <w:tcPr>
            <w:tcW w:w="3681" w:type="dxa"/>
            <w:shd w:val="clear" w:color="auto" w:fill="FFFFFF"/>
            <w:vAlign w:val="center"/>
          </w:tcPr>
          <w:p w14:paraId="37D89FD2" w14:textId="61A27CDD" w:rsidR="00B60DCB" w:rsidRPr="00A4376F" w:rsidRDefault="00B60DCB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Kampányok 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81C06" w14:textId="717A3CDC" w:rsidR="00B60DCB" w:rsidRPr="00A4376F" w:rsidRDefault="00B60DCB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76D7D8C2" w14:textId="74B396C3" w:rsidR="00B60DCB" w:rsidRPr="00137D7C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B1">
              <w:rPr>
                <w:rFonts w:ascii="Times New Roman" w:hAnsi="Times New Roman"/>
                <w:sz w:val="24"/>
                <w:szCs w:val="24"/>
              </w:rPr>
              <w:t>A súlyos, szervezett, határon átnyúló bűncselekmény kategóriák vonatkozásában a projekt keretében indított olyan közösségi és nyilvánosság el</w:t>
            </w:r>
            <w:r>
              <w:rPr>
                <w:rFonts w:ascii="Times New Roman" w:hAnsi="Times New Roman"/>
                <w:sz w:val="24"/>
                <w:szCs w:val="24"/>
              </w:rPr>
              <w:t>ő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tt zajló, tervezett és végrehajtott tevékenységek sorozata, amelynek célja a társadalom egészének vagy egyes csoportjainak koncentrált informálása, figyelemfelkeltése, érzékenyítése és b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i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zonyos cselekvésre, viselkedésre, életmódváltásra buzdítása.</w:t>
            </w:r>
          </w:p>
        </w:tc>
      </w:tr>
      <w:tr w:rsidR="00B60DCB" w:rsidRPr="00905E2F" w14:paraId="7489BAAA" w14:textId="77777777" w:rsidTr="00F00E6A">
        <w:tc>
          <w:tcPr>
            <w:tcW w:w="3681" w:type="dxa"/>
            <w:shd w:val="clear" w:color="auto" w:fill="FFFFFF"/>
            <w:vAlign w:val="center"/>
          </w:tcPr>
          <w:p w14:paraId="5F39C998" w14:textId="14234712" w:rsidR="00B60DCB" w:rsidRPr="00A4376F" w:rsidRDefault="00B60DCB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bookmarkStart w:id="52" w:name="_Hlk11153375"/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 xml:space="preserve">Létrehozott </w:t>
            </w:r>
            <w:proofErr w:type="spellStart"/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disszeminációs</w:t>
            </w:r>
            <w:proofErr w:type="spellEnd"/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, ko</w:t>
            </w:r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m</w:t>
            </w:r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munikációs tervek száma</w:t>
            </w:r>
            <w:bookmarkEnd w:id="52"/>
          </w:p>
        </w:tc>
        <w:tc>
          <w:tcPr>
            <w:tcW w:w="1843" w:type="dxa"/>
            <w:shd w:val="clear" w:color="auto" w:fill="FFFFFF"/>
            <w:vAlign w:val="center"/>
          </w:tcPr>
          <w:p w14:paraId="46F7A6BB" w14:textId="25E6DB9C" w:rsidR="00B60DCB" w:rsidRPr="00A4376F" w:rsidRDefault="00B60DCB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25C43DF6" w14:textId="627579A7" w:rsidR="00B60DCB" w:rsidRPr="00137D7C" w:rsidRDefault="00137D7C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7C">
              <w:rPr>
                <w:rFonts w:ascii="Times New Roman" w:hAnsi="Times New Roman"/>
                <w:sz w:val="24"/>
                <w:szCs w:val="24"/>
              </w:rPr>
              <w:t>A projekt keretében tájékoztatást, figyelemfelkeltést és érzékenyítést szolgáló ka</w:t>
            </w:r>
            <w:r w:rsidRPr="00137D7C">
              <w:rPr>
                <w:rFonts w:ascii="Times New Roman" w:hAnsi="Times New Roman"/>
                <w:sz w:val="24"/>
                <w:szCs w:val="24"/>
              </w:rPr>
              <w:t>m</w:t>
            </w:r>
            <w:r w:rsidRPr="00137D7C">
              <w:rPr>
                <w:rFonts w:ascii="Times New Roman" w:hAnsi="Times New Roman"/>
                <w:sz w:val="24"/>
                <w:szCs w:val="24"/>
              </w:rPr>
              <w:t>pányok szakszerű végrehajtását megalapozó, a célcsoport specialitásainak felmérésén alapuló tervek száma.</w:t>
            </w:r>
          </w:p>
        </w:tc>
      </w:tr>
      <w:tr w:rsidR="00B60DCB" w:rsidRPr="00905E2F" w14:paraId="4CBA9AFE" w14:textId="77777777" w:rsidTr="00F00E6A">
        <w:tc>
          <w:tcPr>
            <w:tcW w:w="3681" w:type="dxa"/>
            <w:shd w:val="clear" w:color="auto" w:fill="FFFFFF"/>
            <w:vAlign w:val="center"/>
          </w:tcPr>
          <w:p w14:paraId="62CB03B7" w14:textId="6DB70531" w:rsidR="00B60DCB" w:rsidRPr="00A4376F" w:rsidRDefault="00B60DCB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Elkészült tanulmányok/jelentések 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5A7C58" w14:textId="73582EF4" w:rsidR="00B60DCB" w:rsidRPr="00A4376F" w:rsidRDefault="00B60DCB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2760EEEC" w14:textId="49BE0946" w:rsidR="00B60DCB" w:rsidRPr="00905E2F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</w:t>
            </w:r>
            <w:proofErr w:type="gramStart"/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végrehajtott  tevékenységek</w:t>
            </w:r>
            <w:proofErr w:type="gramEnd"/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eredményeként létrejött tanulm</w:t>
            </w: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nyok, jelentések száma.</w:t>
            </w:r>
          </w:p>
        </w:tc>
      </w:tr>
      <w:tr w:rsidR="00AD2C35" w:rsidRPr="00905E2F" w14:paraId="38A18533" w14:textId="77777777" w:rsidTr="00F00E6A">
        <w:tc>
          <w:tcPr>
            <w:tcW w:w="3681" w:type="dxa"/>
            <w:shd w:val="clear" w:color="auto" w:fill="FFFFFF"/>
            <w:vAlign w:val="center"/>
          </w:tcPr>
          <w:p w14:paraId="2DD8D226" w14:textId="53B7FE87" w:rsidR="00AD2C35" w:rsidRPr="00A4376F" w:rsidRDefault="00AD2C35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Nyomtatott tájékoztató anyagok példányszáma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02C768" w14:textId="74F06D35" w:rsidR="00AD2C35" w:rsidRPr="00A4376F" w:rsidRDefault="00AD2C35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6FA8C52F" w14:textId="3A7DDCEE" w:rsidR="00AD2C35" w:rsidRPr="00AD2C35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B1">
              <w:rPr>
                <w:rFonts w:ascii="Times New Roman" w:hAnsi="Times New Roman"/>
                <w:sz w:val="24"/>
                <w:szCs w:val="24"/>
              </w:rPr>
              <w:t xml:space="preserve">A projekt keretében elkészült, az információ átadására alkalmas, </w:t>
            </w:r>
            <w:proofErr w:type="spellStart"/>
            <w:r w:rsidRPr="008D7DB1">
              <w:rPr>
                <w:rFonts w:ascii="Times New Roman" w:hAnsi="Times New Roman"/>
                <w:sz w:val="24"/>
                <w:szCs w:val="24"/>
              </w:rPr>
              <w:t>tematizált</w:t>
            </w:r>
            <w:proofErr w:type="spellEnd"/>
            <w:r w:rsidRPr="008D7DB1">
              <w:rPr>
                <w:rFonts w:ascii="Times New Roman" w:hAnsi="Times New Roman"/>
                <w:sz w:val="24"/>
                <w:szCs w:val="24"/>
              </w:rPr>
              <w:t>, nyomt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a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tott és kiosztott anyagok példányszáma.</w:t>
            </w:r>
          </w:p>
        </w:tc>
      </w:tr>
      <w:tr w:rsidR="00AD2C35" w:rsidRPr="00905E2F" w14:paraId="299C9FF6" w14:textId="77777777" w:rsidTr="00F00E6A">
        <w:tc>
          <w:tcPr>
            <w:tcW w:w="3681" w:type="dxa"/>
            <w:shd w:val="clear" w:color="auto" w:fill="FFFFFF"/>
            <w:vAlign w:val="center"/>
          </w:tcPr>
          <w:p w14:paraId="55E2C4B0" w14:textId="469A86EF" w:rsidR="00AD2C35" w:rsidRPr="00A4376F" w:rsidRDefault="00AD2C35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Elkészült elektronikus tájékoztató anyagok 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A06EAC" w14:textId="31376241" w:rsidR="00AD2C35" w:rsidRPr="00A4376F" w:rsidRDefault="00AD2C35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60C2BB69" w14:textId="03EABE8F" w:rsidR="00AD2C35" w:rsidRPr="00AD2C35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DB1">
              <w:rPr>
                <w:rFonts w:ascii="Times New Roman" w:hAnsi="Times New Roman"/>
                <w:sz w:val="24"/>
                <w:szCs w:val="24"/>
              </w:rPr>
              <w:t xml:space="preserve">A projekt keretében elkészült és megjelentetett információ átadására alkalmas, </w:t>
            </w:r>
            <w:proofErr w:type="spellStart"/>
            <w:r w:rsidRPr="008D7DB1">
              <w:rPr>
                <w:rFonts w:ascii="Times New Roman" w:hAnsi="Times New Roman"/>
                <w:sz w:val="24"/>
                <w:szCs w:val="24"/>
              </w:rPr>
              <w:t>tematizált</w:t>
            </w:r>
            <w:proofErr w:type="spellEnd"/>
            <w:r w:rsidRPr="008D7DB1">
              <w:rPr>
                <w:rFonts w:ascii="Times New Roman" w:hAnsi="Times New Roman"/>
                <w:sz w:val="24"/>
                <w:szCs w:val="24"/>
              </w:rPr>
              <w:t xml:space="preserve"> elektronikus anyagok száma.</w:t>
            </w:r>
          </w:p>
        </w:tc>
      </w:tr>
      <w:tr w:rsidR="00AD2C35" w:rsidRPr="00905E2F" w14:paraId="3174692A" w14:textId="77777777" w:rsidTr="00F00E6A">
        <w:tc>
          <w:tcPr>
            <w:tcW w:w="3681" w:type="dxa"/>
            <w:shd w:val="clear" w:color="auto" w:fill="FFFFFF"/>
            <w:vAlign w:val="center"/>
          </w:tcPr>
          <w:p w14:paraId="505D015D" w14:textId="34C132E0" w:rsidR="00AD2C35" w:rsidRPr="00A4376F" w:rsidRDefault="00AD2C35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fr-BE"/>
              </w:rPr>
              <w:t>Létrehozott/fejlesztett web-alapú felületek 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0A395C" w14:textId="72C99E5A" w:rsidR="00AD2C35" w:rsidRPr="00A4376F" w:rsidRDefault="00AD2C35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8470" w:type="dxa"/>
            <w:vAlign w:val="center"/>
          </w:tcPr>
          <w:p w14:paraId="72473976" w14:textId="4E5E6F7B" w:rsidR="00AD2C35" w:rsidRPr="00A4376F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létrehozott/fejlesztett weboldalak, web alapú alkalmazások, k</w:t>
            </w: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AD2C35">
              <w:rPr>
                <w:rFonts w:ascii="Times New Roman" w:hAnsi="Times New Roman"/>
                <w:color w:val="000000"/>
                <w:sz w:val="24"/>
                <w:szCs w:val="24"/>
              </w:rPr>
              <w:t>zösségi média felületek száma.</w:t>
            </w:r>
          </w:p>
        </w:tc>
      </w:tr>
      <w:tr w:rsidR="00AD2C35" w:rsidRPr="00905E2F" w14:paraId="128C4E06" w14:textId="77777777" w:rsidTr="00F00E6A">
        <w:tc>
          <w:tcPr>
            <w:tcW w:w="3681" w:type="dxa"/>
            <w:shd w:val="clear" w:color="auto" w:fill="FFFFFF"/>
            <w:vAlign w:val="center"/>
          </w:tcPr>
          <w:p w14:paraId="17474BEC" w14:textId="3BCCE0E0" w:rsidR="00AD2C35" w:rsidRPr="00A4376F" w:rsidRDefault="00AD2C35" w:rsidP="00AD2C3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Kampánnyal elért személyek száma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384A38" w14:textId="3DDBC6B8" w:rsidR="00AD2C35" w:rsidRPr="00A4376F" w:rsidRDefault="00AD2C35" w:rsidP="00AD2C3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7F13">
              <w:rPr>
                <w:rFonts w:ascii="Times New Roman" w:hAnsi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8470" w:type="dxa"/>
            <w:vAlign w:val="center"/>
          </w:tcPr>
          <w:p w14:paraId="7B8403A2" w14:textId="125CF520" w:rsidR="00AD2C35" w:rsidRPr="00A4376F" w:rsidRDefault="00AD2C35" w:rsidP="00137D7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D7DB1">
              <w:rPr>
                <w:rFonts w:ascii="Times New Roman" w:hAnsi="Times New Roman"/>
                <w:sz w:val="24"/>
                <w:szCs w:val="24"/>
              </w:rPr>
              <w:t xml:space="preserve">Televíziós sugárzás esetén a műsor egy átlagos percének közönségnagysága (AMR nézettség), nyilvános kommunikáció </w:t>
            </w:r>
            <w:proofErr w:type="gramStart"/>
            <w:r w:rsidRPr="008D7DB1">
              <w:rPr>
                <w:rFonts w:ascii="Times New Roman" w:hAnsi="Times New Roman"/>
                <w:sz w:val="24"/>
                <w:szCs w:val="24"/>
              </w:rPr>
              <w:t>esetén</w:t>
            </w:r>
            <w:proofErr w:type="gramEnd"/>
            <w:r w:rsidRPr="008D7DB1">
              <w:rPr>
                <w:rFonts w:ascii="Times New Roman" w:hAnsi="Times New Roman"/>
                <w:sz w:val="24"/>
                <w:szCs w:val="24"/>
              </w:rPr>
              <w:t xml:space="preserve"> az eseményen megjelent személyek sz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á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ma, nyomtatott sajtóban történő megjelenés esetén az adott sajtótermék példánysz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á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ma, online megjelenés esetén az adott online felület látogatóinak a száma, nyomtatott tájékoztató anyag esetében az adott dokumentum példányszáma. Amennyiben az adott kampány több, különféle eszköz alkalmazásával valósul meg, az indikátor ért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é</w:t>
            </w:r>
            <w:r w:rsidRPr="008D7DB1">
              <w:rPr>
                <w:rFonts w:ascii="Times New Roman" w:hAnsi="Times New Roman"/>
                <w:sz w:val="24"/>
                <w:szCs w:val="24"/>
              </w:rPr>
              <w:t>két ezen eszközök elérésének összege adja.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3" w:name="_Toc116855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3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004CC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6004C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004CC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1305ECDD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6004CC">
        <w:rPr>
          <w:rFonts w:ascii="Times New Roman" w:hAnsi="Times New Roman"/>
          <w:sz w:val="24"/>
          <w:szCs w:val="24"/>
        </w:rPr>
        <w:t xml:space="preserve"> </w:t>
      </w:r>
      <w:r w:rsidR="006004CC" w:rsidRPr="006004CC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B60DCB" w:rsidRDefault="00B60DCB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B60DCB" w:rsidRDefault="00B60DCB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B03D" w14:textId="77777777" w:rsidR="001A7BEB" w:rsidRDefault="001A7B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B60DCB" w:rsidRPr="00AA01FE" w:rsidRDefault="00B60DCB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F00561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F00561">
      <w:rPr>
        <w:rFonts w:ascii="Times New Roman" w:hAnsi="Times New Roman"/>
        <w:b/>
        <w:bCs/>
        <w:noProof/>
      </w:rPr>
      <w:t>83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B60DCB" w:rsidRDefault="00B60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4D10" w14:textId="77777777" w:rsidR="001A7BEB" w:rsidRDefault="001A7BE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B60DCB" w:rsidRDefault="00B60DCB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B60DCB" w:rsidRPr="009A2523" w:rsidRDefault="00B60DC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00561">
      <w:rPr>
        <w:rStyle w:val="Oldalszm"/>
        <w:noProof/>
      </w:rPr>
      <w:t>53</w:t>
    </w:r>
    <w:r>
      <w:rPr>
        <w:rStyle w:val="Oldalszm"/>
      </w:rPr>
      <w:fldChar w:fldCharType="end"/>
    </w:r>
  </w:p>
  <w:p w14:paraId="39E8D495" w14:textId="77777777" w:rsidR="00B60DCB" w:rsidRDefault="00B60DC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B60DCB" w:rsidRPr="009A2523" w:rsidRDefault="00B60DC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B60DCB" w:rsidRPr="00A60846" w:rsidRDefault="00B60DC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B60DCB" w:rsidRPr="00C06243" w:rsidRDefault="00B60DCB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B60DCB" w:rsidRDefault="00B60DCB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B60DCB" w:rsidRPr="009A2523" w:rsidRDefault="00B60DC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00561">
      <w:rPr>
        <w:rStyle w:val="Oldalszm"/>
        <w:noProof/>
      </w:rPr>
      <w:t>83</w:t>
    </w:r>
    <w:r>
      <w:rPr>
        <w:rStyle w:val="Oldalszm"/>
      </w:rPr>
      <w:fldChar w:fldCharType="end"/>
    </w:r>
  </w:p>
  <w:p w14:paraId="20F1BA34" w14:textId="77777777" w:rsidR="00B60DCB" w:rsidRDefault="00B60DC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B60DCB" w:rsidRPr="009A2523" w:rsidRDefault="00B60DCB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B60DCB" w:rsidRPr="00A60846" w:rsidRDefault="00B60DCB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B60DCB" w:rsidRPr="00C06243" w:rsidRDefault="00B60DCB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B60DCB" w:rsidRDefault="00B60DCB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B60DCB" w:rsidRDefault="00B60DCB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B60DCB" w:rsidRPr="00653CFA" w:rsidRDefault="00B60DCB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B60DCB" w:rsidRPr="00653CFA" w:rsidRDefault="00B60DCB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B60DCB" w:rsidRPr="00601539" w:rsidRDefault="00B60DCB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B60DCB" w:rsidRDefault="00B60DCB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B60DCB" w:rsidRPr="00601539" w:rsidRDefault="00B60DCB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B60DCB" w:rsidRPr="00D960FD" w:rsidRDefault="00B60DCB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B60DCB" w:rsidRPr="00BB142E" w:rsidRDefault="00B60DC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B60DCB" w:rsidRPr="00BB142E" w:rsidRDefault="00B60DC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B60DCB" w:rsidRPr="00D960FD" w:rsidRDefault="00B60DCB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B60DCB" w:rsidRPr="00BB142E" w:rsidRDefault="00B60DCB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B60DCB" w:rsidRPr="00BB142E" w:rsidRDefault="00B60DCB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B60DCB" w:rsidRPr="0061151C" w:rsidRDefault="00B60DCB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B60DCB" w:rsidRDefault="00B60DCB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B60DCB" w:rsidRDefault="00B60DCB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B60DCB" w:rsidRPr="00B84EE2" w:rsidRDefault="00B60DCB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B60DCB" w:rsidRPr="00412EC4" w:rsidRDefault="00B60DCB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 xml:space="preserve">A támogatási konstrukció keretében az elszámolható költség fedezetének legfeljebb 75%-át az Európai Unió költségvetése, a fennmaradó részét a </w:t>
      </w:r>
      <w:r w:rsidRPr="006004CC">
        <w:rPr>
          <w:rFonts w:ascii="Times New Roman" w:hAnsi="Times New Roman"/>
        </w:rPr>
        <w:t>Belügyminisztérium által biztosított hazai társfinanszírozás és a Kedve</w:t>
      </w:r>
      <w:r w:rsidRPr="006004CC">
        <w:rPr>
          <w:rFonts w:ascii="Times New Roman" w:hAnsi="Times New Roman"/>
        </w:rPr>
        <w:t>z</w:t>
      </w:r>
      <w:r w:rsidRPr="006004CC">
        <w:rPr>
          <w:rFonts w:ascii="Times New Roman" w:hAnsi="Times New Roman"/>
        </w:rPr>
        <w:t>ményezett elszámolható hozzájárulása biztosítja. Uniós jogszabály rendelkezése alapján a Projektben a támog</w:t>
      </w:r>
      <w:r w:rsidRPr="006004CC">
        <w:rPr>
          <w:rFonts w:ascii="Times New Roman" w:hAnsi="Times New Roman"/>
        </w:rPr>
        <w:t>a</w:t>
      </w:r>
      <w:r w:rsidRPr="006004CC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6265" w14:textId="408258E2" w:rsidR="001A7BEB" w:rsidRDefault="00F00561">
    <w:pPr>
      <w:pStyle w:val="lfej"/>
    </w:pPr>
    <w:r>
      <w:rPr>
        <w:noProof/>
      </w:rPr>
      <w:pict w14:anchorId="5FCC6D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3" o:spid="_x0000_s51202" type="#_x0000_t136" style="position:absolute;margin-left:0;margin-top:0;width:511.6pt;height:127.9pt;rotation:315;z-index:-25165004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D75C" w14:textId="2256E480" w:rsidR="001A7BEB" w:rsidRDefault="00F00561">
    <w:pPr>
      <w:pStyle w:val="lfej"/>
    </w:pPr>
    <w:r>
      <w:rPr>
        <w:noProof/>
      </w:rPr>
      <w:pict w14:anchorId="0BE31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4" o:spid="_x0000_s51203" type="#_x0000_t136" style="position:absolute;margin-left:0;margin-top:0;width:511.6pt;height:127.9pt;rotation:315;z-index:-25164800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D49B" w14:textId="2B9E0E72" w:rsidR="001A7BEB" w:rsidRDefault="00F00561">
    <w:pPr>
      <w:pStyle w:val="lfej"/>
    </w:pPr>
    <w:r>
      <w:rPr>
        <w:noProof/>
      </w:rPr>
      <w:pict w14:anchorId="53277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2" o:spid="_x0000_s51201" type="#_x0000_t136" style="position:absolute;margin-left:0;margin-top:0;width:511.6pt;height:127.9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27E3BDE3" w:rsidR="00B60DCB" w:rsidRDefault="00F00561">
    <w:pPr>
      <w:pStyle w:val="lfej"/>
    </w:pPr>
    <w:r>
      <w:rPr>
        <w:noProof/>
      </w:rPr>
      <w:pict w14:anchorId="0CFED9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6" o:spid="_x0000_s51205" type="#_x0000_t136" style="position:absolute;margin-left:0;margin-top:0;width:511.6pt;height:127.9pt;rotation:315;z-index:-2516439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30AB382F" w:rsidR="00B60DCB" w:rsidRPr="00B47A6C" w:rsidRDefault="00F00561" w:rsidP="00B47A6C">
    <w:pPr>
      <w:pStyle w:val="lfej"/>
    </w:pPr>
    <w:r>
      <w:rPr>
        <w:noProof/>
      </w:rPr>
      <w:pict w14:anchorId="32DBA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7" o:spid="_x0000_s51206" type="#_x0000_t136" style="position:absolute;margin-left:0;margin-top:0;width:511.6pt;height:127.9pt;rotation:315;z-index:-25164185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B60DCB" w14:paraId="143FA3BE" w14:textId="77777777" w:rsidTr="00AD0BE0">
      <w:trPr>
        <w:jc w:val="center"/>
      </w:trPr>
      <w:tc>
        <w:tcPr>
          <w:tcW w:w="4323" w:type="dxa"/>
        </w:tcPr>
        <w:p w14:paraId="3536A895" w14:textId="77777777" w:rsidR="00B60DCB" w:rsidRPr="00FA3890" w:rsidRDefault="00B60DCB" w:rsidP="00AD0BE0">
          <w:pPr>
            <w:pStyle w:val="lfej"/>
            <w:ind w:right="360"/>
            <w:rPr>
              <w:rFonts w:cs="Calibri"/>
              <w:color w:val="404040"/>
            </w:rPr>
          </w:pPr>
        </w:p>
      </w:tc>
      <w:tc>
        <w:tcPr>
          <w:tcW w:w="5229" w:type="dxa"/>
        </w:tcPr>
        <w:p w14:paraId="0CEE1F7E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2EC4AD0B" w:rsidR="00B60DCB" w:rsidRDefault="00F00561" w:rsidP="00AD0BE0">
    <w:pPr>
      <w:pStyle w:val="lfej"/>
    </w:pPr>
    <w:r>
      <w:rPr>
        <w:noProof/>
      </w:rPr>
      <w:pict w14:anchorId="3B3D0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5" o:spid="_x0000_s51204" type="#_x0000_t136" style="position:absolute;margin-left:0;margin-top:0;width:511.6pt;height:127.9pt;rotation:315;z-index:-2516459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  <w:p w14:paraId="1809E7B6" w14:textId="77777777" w:rsidR="00B60DCB" w:rsidRDefault="00B60DCB" w:rsidP="00AD0BE0">
    <w:pPr>
      <w:pStyle w:val="lfej"/>
    </w:pPr>
  </w:p>
  <w:p w14:paraId="4F0AFA3F" w14:textId="77777777" w:rsidR="00B60DCB" w:rsidRDefault="00B60DCB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B60DCB" w:rsidRPr="00C06243" w:rsidRDefault="00B60DCB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223CB87F" w:rsidR="00B60DCB" w:rsidRDefault="00F00561">
    <w:pPr>
      <w:pStyle w:val="lfej"/>
    </w:pPr>
    <w:r>
      <w:rPr>
        <w:noProof/>
      </w:rPr>
      <w:pict w14:anchorId="7CDF6B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9" o:spid="_x0000_s51208" type="#_x0000_t136" style="position:absolute;margin-left:0;margin-top:0;width:511.6pt;height:127.9pt;rotation:315;z-index:-25163776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72BE6FB" w:rsidR="00B60DCB" w:rsidRPr="00B47A6C" w:rsidRDefault="00F00561" w:rsidP="00B47A6C">
    <w:pPr>
      <w:pStyle w:val="lfej"/>
    </w:pPr>
    <w:r>
      <w:rPr>
        <w:noProof/>
      </w:rPr>
      <w:pict w14:anchorId="27A81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50" o:spid="_x0000_s51209" type="#_x0000_t136" style="position:absolute;margin-left:0;margin-top:0;width:511.6pt;height:127.9pt;rotation:315;z-index:-25163571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B60DCB" w14:paraId="73211995" w14:textId="77777777" w:rsidTr="00AD0BE0">
      <w:trPr>
        <w:jc w:val="center"/>
      </w:trPr>
      <w:tc>
        <w:tcPr>
          <w:tcW w:w="4323" w:type="dxa"/>
        </w:tcPr>
        <w:p w14:paraId="1937D6F9" w14:textId="77777777" w:rsidR="00B60DCB" w:rsidRPr="00FA3890" w:rsidRDefault="00B60DCB" w:rsidP="00AD0BE0">
          <w:pPr>
            <w:pStyle w:val="lfej"/>
            <w:ind w:right="360"/>
            <w:rPr>
              <w:rFonts w:cs="Calibri"/>
              <w:color w:val="404040"/>
            </w:rPr>
          </w:pPr>
        </w:p>
      </w:tc>
      <w:tc>
        <w:tcPr>
          <w:tcW w:w="5229" w:type="dxa"/>
        </w:tcPr>
        <w:p w14:paraId="0E3EDCE9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B60DCB" w:rsidRPr="00FA3890" w:rsidRDefault="00B60DCB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4CE4A4AD" w:rsidR="00B60DCB" w:rsidRDefault="00F00561" w:rsidP="00AD0BE0">
    <w:pPr>
      <w:pStyle w:val="lfej"/>
    </w:pPr>
    <w:r>
      <w:rPr>
        <w:noProof/>
      </w:rPr>
      <w:pict w14:anchorId="7CD9D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8348" o:spid="_x0000_s51207" type="#_x0000_t136" style="position:absolute;margin-left:0;margin-top:0;width:511.6pt;height:127.9pt;rotation:315;z-index:-25163980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TERVEZET"/>
          <w10:wrap anchorx="margin" anchory="margin"/>
        </v:shape>
      </w:pict>
    </w:r>
  </w:p>
  <w:p w14:paraId="2F7FC325" w14:textId="77777777" w:rsidR="00B60DCB" w:rsidRDefault="00B60DCB" w:rsidP="00AD0BE0">
    <w:pPr>
      <w:pStyle w:val="lfej"/>
    </w:pPr>
  </w:p>
  <w:p w14:paraId="536E3E9A" w14:textId="77777777" w:rsidR="00B60DCB" w:rsidRDefault="00B60DCB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B60DCB" w:rsidRPr="00C06243" w:rsidRDefault="00B60DCB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3EA9"/>
    <w:multiLevelType w:val="hybridMultilevel"/>
    <w:tmpl w:val="71600EE2"/>
    <w:lvl w:ilvl="0" w:tplc="5A365F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6285D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4548C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77CC7"/>
    <w:multiLevelType w:val="hybridMultilevel"/>
    <w:tmpl w:val="7BD40510"/>
    <w:lvl w:ilvl="0" w:tplc="0F0A32AE">
      <w:start w:val="1"/>
      <w:numFmt w:val="lowerLetter"/>
      <w:lvlText w:val="%1)"/>
      <w:lvlJc w:val="left"/>
      <w:pPr>
        <w:ind w:left="447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52" w:hanging="360"/>
      </w:pPr>
    </w:lvl>
    <w:lvl w:ilvl="2" w:tplc="040E001B" w:tentative="1">
      <w:start w:val="1"/>
      <w:numFmt w:val="lowerRoman"/>
      <w:lvlText w:val="%3."/>
      <w:lvlJc w:val="right"/>
      <w:pPr>
        <w:ind w:left="6272" w:hanging="180"/>
      </w:pPr>
    </w:lvl>
    <w:lvl w:ilvl="3" w:tplc="040E000F" w:tentative="1">
      <w:start w:val="1"/>
      <w:numFmt w:val="decimal"/>
      <w:lvlText w:val="%4."/>
      <w:lvlJc w:val="left"/>
      <w:pPr>
        <w:ind w:left="6992" w:hanging="360"/>
      </w:pPr>
    </w:lvl>
    <w:lvl w:ilvl="4" w:tplc="040E0019" w:tentative="1">
      <w:start w:val="1"/>
      <w:numFmt w:val="lowerLetter"/>
      <w:lvlText w:val="%5."/>
      <w:lvlJc w:val="left"/>
      <w:pPr>
        <w:ind w:left="7712" w:hanging="360"/>
      </w:pPr>
    </w:lvl>
    <w:lvl w:ilvl="5" w:tplc="040E001B" w:tentative="1">
      <w:start w:val="1"/>
      <w:numFmt w:val="lowerRoman"/>
      <w:lvlText w:val="%6."/>
      <w:lvlJc w:val="right"/>
      <w:pPr>
        <w:ind w:left="8432" w:hanging="180"/>
      </w:pPr>
    </w:lvl>
    <w:lvl w:ilvl="6" w:tplc="040E000F" w:tentative="1">
      <w:start w:val="1"/>
      <w:numFmt w:val="decimal"/>
      <w:lvlText w:val="%7."/>
      <w:lvlJc w:val="left"/>
      <w:pPr>
        <w:ind w:left="9152" w:hanging="360"/>
      </w:pPr>
    </w:lvl>
    <w:lvl w:ilvl="7" w:tplc="040E0019" w:tentative="1">
      <w:start w:val="1"/>
      <w:numFmt w:val="lowerLetter"/>
      <w:lvlText w:val="%8."/>
      <w:lvlJc w:val="left"/>
      <w:pPr>
        <w:ind w:left="9872" w:hanging="360"/>
      </w:pPr>
    </w:lvl>
    <w:lvl w:ilvl="8" w:tplc="040E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8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EC615D"/>
    <w:multiLevelType w:val="hybridMultilevel"/>
    <w:tmpl w:val="71600EE2"/>
    <w:lvl w:ilvl="0" w:tplc="5A365F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8"/>
  </w:num>
  <w:num w:numId="5">
    <w:abstractNumId w:val="15"/>
  </w:num>
  <w:num w:numId="6">
    <w:abstractNumId w:val="54"/>
  </w:num>
  <w:num w:numId="7">
    <w:abstractNumId w:val="43"/>
  </w:num>
  <w:num w:numId="8">
    <w:abstractNumId w:val="3"/>
  </w:num>
  <w:num w:numId="9">
    <w:abstractNumId w:val="32"/>
  </w:num>
  <w:num w:numId="10">
    <w:abstractNumId w:val="62"/>
  </w:num>
  <w:num w:numId="11">
    <w:abstractNumId w:val="16"/>
  </w:num>
  <w:num w:numId="12">
    <w:abstractNumId w:val="38"/>
  </w:num>
  <w:num w:numId="13">
    <w:abstractNumId w:val="22"/>
  </w:num>
  <w:num w:numId="14">
    <w:abstractNumId w:val="6"/>
  </w:num>
  <w:num w:numId="15">
    <w:abstractNumId w:val="1"/>
  </w:num>
  <w:num w:numId="16">
    <w:abstractNumId w:val="58"/>
  </w:num>
  <w:num w:numId="17">
    <w:abstractNumId w:val="37"/>
  </w:num>
  <w:num w:numId="18">
    <w:abstractNumId w:val="56"/>
  </w:num>
  <w:num w:numId="19">
    <w:abstractNumId w:val="8"/>
  </w:num>
  <w:num w:numId="20">
    <w:abstractNumId w:val="44"/>
  </w:num>
  <w:num w:numId="21">
    <w:abstractNumId w:val="34"/>
  </w:num>
  <w:num w:numId="22">
    <w:abstractNumId w:val="33"/>
  </w:num>
  <w:num w:numId="23">
    <w:abstractNumId w:val="50"/>
  </w:num>
  <w:num w:numId="24">
    <w:abstractNumId w:val="31"/>
  </w:num>
  <w:num w:numId="25">
    <w:abstractNumId w:val="53"/>
  </w:num>
  <w:num w:numId="26">
    <w:abstractNumId w:val="20"/>
  </w:num>
  <w:num w:numId="27">
    <w:abstractNumId w:val="27"/>
  </w:num>
  <w:num w:numId="28">
    <w:abstractNumId w:val="5"/>
  </w:num>
  <w:num w:numId="29">
    <w:abstractNumId w:val="14"/>
  </w:num>
  <w:num w:numId="30">
    <w:abstractNumId w:val="0"/>
  </w:num>
  <w:num w:numId="31">
    <w:abstractNumId w:val="52"/>
  </w:num>
  <w:num w:numId="32">
    <w:abstractNumId w:val="24"/>
  </w:num>
  <w:num w:numId="33">
    <w:abstractNumId w:val="48"/>
  </w:num>
  <w:num w:numId="34">
    <w:abstractNumId w:val="11"/>
  </w:num>
  <w:num w:numId="35">
    <w:abstractNumId w:val="55"/>
  </w:num>
  <w:num w:numId="36">
    <w:abstractNumId w:val="26"/>
  </w:num>
  <w:num w:numId="37">
    <w:abstractNumId w:val="35"/>
  </w:num>
  <w:num w:numId="38">
    <w:abstractNumId w:val="41"/>
  </w:num>
  <w:num w:numId="39">
    <w:abstractNumId w:val="21"/>
  </w:num>
  <w:num w:numId="40">
    <w:abstractNumId w:val="17"/>
  </w:num>
  <w:num w:numId="41">
    <w:abstractNumId w:val="12"/>
  </w:num>
  <w:num w:numId="42">
    <w:abstractNumId w:val="49"/>
  </w:num>
  <w:num w:numId="43">
    <w:abstractNumId w:val="59"/>
  </w:num>
  <w:num w:numId="44">
    <w:abstractNumId w:val="36"/>
  </w:num>
  <w:num w:numId="45">
    <w:abstractNumId w:val="10"/>
  </w:num>
  <w:num w:numId="46">
    <w:abstractNumId w:val="25"/>
  </w:num>
  <w:num w:numId="47">
    <w:abstractNumId w:val="57"/>
  </w:num>
  <w:num w:numId="48">
    <w:abstractNumId w:val="7"/>
  </w:num>
  <w:num w:numId="49">
    <w:abstractNumId w:val="61"/>
  </w:num>
  <w:num w:numId="50">
    <w:abstractNumId w:val="42"/>
  </w:num>
  <w:num w:numId="51">
    <w:abstractNumId w:val="2"/>
  </w:num>
  <w:num w:numId="52">
    <w:abstractNumId w:val="4"/>
  </w:num>
  <w:num w:numId="53">
    <w:abstractNumId w:val="40"/>
  </w:num>
  <w:num w:numId="54">
    <w:abstractNumId w:val="46"/>
  </w:num>
  <w:num w:numId="55">
    <w:abstractNumId w:val="29"/>
  </w:num>
  <w:num w:numId="56">
    <w:abstractNumId w:val="19"/>
  </w:num>
  <w:num w:numId="57">
    <w:abstractNumId w:val="51"/>
  </w:num>
  <w:num w:numId="58">
    <w:abstractNumId w:val="23"/>
  </w:num>
  <w:num w:numId="59">
    <w:abstractNumId w:val="9"/>
  </w:num>
  <w:num w:numId="60">
    <w:abstractNumId w:val="47"/>
  </w:num>
  <w:num w:numId="61">
    <w:abstractNumId w:val="60"/>
  </w:num>
  <w:num w:numId="62">
    <w:abstractNumId w:val="45"/>
  </w:num>
  <w:num w:numId="63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51210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66C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37D7C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0AE"/>
    <w:rsid w:val="001A5729"/>
    <w:rsid w:val="001A58C1"/>
    <w:rsid w:val="001A71D0"/>
    <w:rsid w:val="001A7569"/>
    <w:rsid w:val="001A7BEB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0347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3AF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0595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4FC4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5366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4CC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4805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2AE2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2C3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0DCB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3D22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6A77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0561"/>
    <w:rsid w:val="00F00E6A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2B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0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50A6-7A5B-4D1B-A478-21CC62C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83</Pages>
  <Words>19456</Words>
  <Characters>134248</Characters>
  <Application>Microsoft Office Word</Application>
  <DocSecurity>0</DocSecurity>
  <Lines>1118</Lines>
  <Paragraphs>306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153398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18</cp:revision>
  <cp:lastPrinted>2019-04-01T13:42:00Z</cp:lastPrinted>
  <dcterms:created xsi:type="dcterms:W3CDTF">2019-06-11T11:10:00Z</dcterms:created>
  <dcterms:modified xsi:type="dcterms:W3CDTF">2019-06-17T15:59:00Z</dcterms:modified>
</cp:coreProperties>
</file>