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6ED40BD4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2087D" w:rsidRPr="00F23507">
        <w:rPr>
          <w:rFonts w:ascii="Times New Roman" w:hAnsi="Times New Roman"/>
          <w:b/>
          <w:bCs/>
          <w:caps/>
          <w:sz w:val="28"/>
          <w:szCs w:val="28"/>
        </w:rPr>
        <w:t>-</w:t>
      </w:r>
      <w:r w:rsidR="00F23507">
        <w:rPr>
          <w:rFonts w:ascii="Times New Roman" w:hAnsi="Times New Roman"/>
          <w:b/>
          <w:bCs/>
          <w:caps/>
          <w:sz w:val="28"/>
          <w:szCs w:val="28"/>
        </w:rPr>
        <w:t>6.1.1</w:t>
      </w:r>
      <w:r w:rsidR="00F37A3D" w:rsidRPr="00F37A3D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23507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F23507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20CA13A3" w14:textId="5F730D7F" w:rsidR="0032087D" w:rsidRPr="000B0AD5" w:rsidRDefault="000B0AD5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AD5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 xml:space="preserve">A polgárok és a kritikus infrastruktúrák </w:t>
      </w:r>
      <w:proofErr w:type="spellStart"/>
      <w:r w:rsidRPr="000B0AD5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>kibervédelmi</w:t>
      </w:r>
      <w:proofErr w:type="spellEnd"/>
      <w:r w:rsidRPr="000B0AD5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 xml:space="preserve"> és </w:t>
      </w:r>
      <w:proofErr w:type="gramStart"/>
      <w:r w:rsidRPr="000B0AD5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>CBRN(</w:t>
      </w:r>
      <w:proofErr w:type="gramEnd"/>
      <w:r w:rsidRPr="000B0AD5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>E)</w:t>
      </w:r>
      <w:r w:rsidRPr="000B0AD5">
        <w:rPr>
          <w:rFonts w:ascii="Times New Roman" w:hAnsi="Times New Roman"/>
          <w:sz w:val="28"/>
          <w:szCs w:val="28"/>
          <w:vertAlign w:val="superscript"/>
          <w:lang w:eastAsia="hu-HU"/>
        </w:rPr>
        <w:footnoteReference w:id="1"/>
      </w:r>
      <w:r w:rsidRPr="000B0AD5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 xml:space="preserve"> védelmi kapacitásainak fejlesztése</w:t>
      </w: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6B0E46B0" w14:textId="77777777" w:rsidR="00526C4C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809" w:history="1">
            <w:r w:rsidR="00526C4C" w:rsidRPr="00A14037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526C4C">
              <w:rPr>
                <w:noProof/>
                <w:webHidden/>
              </w:rPr>
              <w:tab/>
            </w:r>
            <w:r w:rsidR="00526C4C">
              <w:rPr>
                <w:noProof/>
                <w:webHidden/>
              </w:rPr>
              <w:fldChar w:fldCharType="begin"/>
            </w:r>
            <w:r w:rsidR="00526C4C">
              <w:rPr>
                <w:noProof/>
                <w:webHidden/>
              </w:rPr>
              <w:instrText xml:space="preserve"> PAGEREF _Toc11685809 \h </w:instrText>
            </w:r>
            <w:r w:rsidR="00526C4C">
              <w:rPr>
                <w:noProof/>
                <w:webHidden/>
              </w:rPr>
            </w:r>
            <w:r w:rsidR="00526C4C">
              <w:rPr>
                <w:noProof/>
                <w:webHidden/>
              </w:rPr>
              <w:fldChar w:fldCharType="separate"/>
            </w:r>
            <w:r w:rsidR="00526C4C">
              <w:rPr>
                <w:noProof/>
                <w:webHidden/>
              </w:rPr>
              <w:t>4</w:t>
            </w:r>
            <w:r w:rsidR="00526C4C">
              <w:rPr>
                <w:noProof/>
                <w:webHidden/>
              </w:rPr>
              <w:fldChar w:fldCharType="end"/>
            </w:r>
          </w:hyperlink>
        </w:p>
        <w:p w14:paraId="1DBACE4B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10" w:history="1">
            <w:r w:rsidR="00526C4C" w:rsidRPr="00A14037">
              <w:rPr>
                <w:rStyle w:val="Hiperhivatkozs"/>
              </w:rPr>
              <w:t>I.1. Általános információk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_Toc11685810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</w:t>
            </w:r>
            <w:r w:rsidR="00526C4C">
              <w:rPr>
                <w:webHidden/>
              </w:rPr>
              <w:fldChar w:fldCharType="end"/>
            </w:r>
          </w:hyperlink>
        </w:p>
        <w:p w14:paraId="2288CC92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11" w:history="1">
            <w:r w:rsidR="00526C4C" w:rsidRPr="00A14037">
              <w:rPr>
                <w:rStyle w:val="Hiperhivatkozs"/>
              </w:rPr>
              <w:t>I.1.1. A támogatási kérelmek benyújtásának módja, helye és ideje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_Toc11685811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</w:t>
            </w:r>
            <w:r w:rsidR="00526C4C">
              <w:rPr>
                <w:webHidden/>
              </w:rPr>
              <w:fldChar w:fldCharType="end"/>
            </w:r>
          </w:hyperlink>
        </w:p>
        <w:p w14:paraId="751CAECA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12" w:history="1">
            <w:r w:rsidR="00526C4C" w:rsidRPr="00A14037">
              <w:rPr>
                <w:rStyle w:val="Hiperhivatkozs"/>
              </w:rPr>
              <w:t>I.1.2. A támogatást igénylők tájékoztatása, értesítése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_Toc11685812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5</w:t>
            </w:r>
            <w:r w:rsidR="00526C4C">
              <w:rPr>
                <w:webHidden/>
              </w:rPr>
              <w:fldChar w:fldCharType="end"/>
            </w:r>
          </w:hyperlink>
        </w:p>
        <w:p w14:paraId="686A6C99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13" w:history="1">
            <w:r w:rsidR="00526C4C" w:rsidRPr="00A14037">
              <w:rPr>
                <w:rStyle w:val="Hiperhivatkozs"/>
              </w:rPr>
              <w:t>I.2. Pénzügyi információk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_Toc11685813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6</w:t>
            </w:r>
            <w:r w:rsidR="00526C4C">
              <w:rPr>
                <w:webHidden/>
              </w:rPr>
              <w:fldChar w:fldCharType="end"/>
            </w:r>
          </w:hyperlink>
        </w:p>
        <w:p w14:paraId="55D5151A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14" w:history="1">
            <w:r w:rsidR="00526C4C" w:rsidRPr="00A14037">
              <w:rPr>
                <w:rStyle w:val="Hiperhivatkozs"/>
              </w:rPr>
              <w:t>I.2.1 Általános információk, a finanszírozás módja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_Toc11685814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6</w:t>
            </w:r>
            <w:r w:rsidR="00526C4C">
              <w:rPr>
                <w:webHidden/>
              </w:rPr>
              <w:fldChar w:fldCharType="end"/>
            </w:r>
          </w:hyperlink>
        </w:p>
        <w:p w14:paraId="6A977962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15" w:history="1">
            <w:r w:rsidR="00526C4C" w:rsidRPr="00A14037">
              <w:rPr>
                <w:rStyle w:val="Hiperhivatkozs"/>
              </w:rPr>
              <w:t>I.3. Célcsoport/ egyéb közreműködők és támogatható intézkedések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_Toc11685815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7</w:t>
            </w:r>
            <w:r w:rsidR="00526C4C">
              <w:rPr>
                <w:webHidden/>
              </w:rPr>
              <w:fldChar w:fldCharType="end"/>
            </w:r>
          </w:hyperlink>
        </w:p>
        <w:p w14:paraId="501896DE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16" w:history="1">
            <w:r w:rsidR="00526C4C" w:rsidRPr="00A14037">
              <w:rPr>
                <w:rStyle w:val="Hiperhivatkozs"/>
              </w:rPr>
              <w:t>I.3.1 Célcsoport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_Toc11685816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7</w:t>
            </w:r>
            <w:r w:rsidR="00526C4C">
              <w:rPr>
                <w:webHidden/>
              </w:rPr>
              <w:fldChar w:fldCharType="end"/>
            </w:r>
          </w:hyperlink>
        </w:p>
        <w:p w14:paraId="5A609C90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17" w:history="1">
            <w:r w:rsidR="00526C4C" w:rsidRPr="00A14037">
              <w:rPr>
                <w:rStyle w:val="Hiperhivatkozs"/>
              </w:rPr>
              <w:t>I.3.2. Támogatható intézkedés ismertetése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_Toc11685817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7</w:t>
            </w:r>
            <w:r w:rsidR="00526C4C">
              <w:rPr>
                <w:webHidden/>
              </w:rPr>
              <w:fldChar w:fldCharType="end"/>
            </w:r>
          </w:hyperlink>
        </w:p>
        <w:p w14:paraId="476318F4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18" w:history="1">
            <w:r w:rsidR="00526C4C" w:rsidRPr="00A14037">
              <w:rPr>
                <w:rStyle w:val="Hiperhivatkozs"/>
              </w:rPr>
              <w:t>I. 4. A BBA-ra vonatkozó főbb jogszabályok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_Toc11685818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8</w:t>
            </w:r>
            <w:r w:rsidR="00526C4C">
              <w:rPr>
                <w:webHidden/>
              </w:rPr>
              <w:fldChar w:fldCharType="end"/>
            </w:r>
          </w:hyperlink>
        </w:p>
        <w:p w14:paraId="3FC11DE9" w14:textId="77777777" w:rsidR="00526C4C" w:rsidRDefault="00813E9C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19" w:history="1">
            <w:r w:rsidR="00526C4C" w:rsidRPr="00A14037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526C4C">
              <w:rPr>
                <w:noProof/>
                <w:webHidden/>
              </w:rPr>
              <w:tab/>
            </w:r>
            <w:r w:rsidR="00526C4C">
              <w:rPr>
                <w:noProof/>
                <w:webHidden/>
              </w:rPr>
              <w:fldChar w:fldCharType="begin"/>
            </w:r>
            <w:r w:rsidR="00526C4C">
              <w:rPr>
                <w:noProof/>
                <w:webHidden/>
              </w:rPr>
              <w:instrText xml:space="preserve"> PAGEREF _Toc11685819 \h </w:instrText>
            </w:r>
            <w:r w:rsidR="00526C4C">
              <w:rPr>
                <w:noProof/>
                <w:webHidden/>
              </w:rPr>
            </w:r>
            <w:r w:rsidR="00526C4C">
              <w:rPr>
                <w:noProof/>
                <w:webHidden/>
              </w:rPr>
              <w:fldChar w:fldCharType="separate"/>
            </w:r>
            <w:r w:rsidR="00526C4C">
              <w:rPr>
                <w:noProof/>
                <w:webHidden/>
              </w:rPr>
              <w:t>11</w:t>
            </w:r>
            <w:r w:rsidR="00526C4C">
              <w:rPr>
                <w:noProof/>
                <w:webHidden/>
              </w:rPr>
              <w:fldChar w:fldCharType="end"/>
            </w:r>
          </w:hyperlink>
        </w:p>
        <w:p w14:paraId="6EA5423E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20" w:history="1">
            <w:r w:rsidR="00526C4C" w:rsidRPr="00A14037">
              <w:rPr>
                <w:rStyle w:val="Hiperhivatkozs"/>
              </w:rPr>
              <w:t>II.1. Jogszabályi előírásoknak való megfelelőség vizsgálata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_Toc11685820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11</w:t>
            </w:r>
            <w:r w:rsidR="00526C4C">
              <w:rPr>
                <w:webHidden/>
              </w:rPr>
              <w:fldChar w:fldCharType="end"/>
            </w:r>
          </w:hyperlink>
        </w:p>
        <w:p w14:paraId="54EB331E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21" w:history="1">
            <w:r w:rsidR="00526C4C" w:rsidRPr="00A14037">
              <w:rPr>
                <w:rStyle w:val="Hiperhivatkozs"/>
              </w:rPr>
              <w:t>II.2. Gazdasági és pénzügyi alkalmasság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_Toc11685821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17</w:t>
            </w:r>
            <w:r w:rsidR="00526C4C">
              <w:rPr>
                <w:webHidden/>
              </w:rPr>
              <w:fldChar w:fldCharType="end"/>
            </w:r>
          </w:hyperlink>
        </w:p>
        <w:p w14:paraId="5E14E3A2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22" w:history="1">
            <w:r w:rsidR="00526C4C" w:rsidRPr="00A14037">
              <w:rPr>
                <w:rStyle w:val="Hiperhivatkozs"/>
              </w:rPr>
              <w:t>II 3. Partner bevonása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_Toc11685822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17</w:t>
            </w:r>
            <w:r w:rsidR="00526C4C">
              <w:rPr>
                <w:webHidden/>
              </w:rPr>
              <w:fldChar w:fldCharType="end"/>
            </w:r>
          </w:hyperlink>
        </w:p>
        <w:p w14:paraId="626DA09B" w14:textId="77777777" w:rsidR="00526C4C" w:rsidRDefault="00813E9C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23" w:history="1">
            <w:r w:rsidR="00526C4C" w:rsidRPr="00A14037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526C4C">
              <w:rPr>
                <w:noProof/>
                <w:webHidden/>
              </w:rPr>
              <w:tab/>
            </w:r>
            <w:r w:rsidR="00526C4C">
              <w:rPr>
                <w:noProof/>
                <w:webHidden/>
              </w:rPr>
              <w:fldChar w:fldCharType="begin"/>
            </w:r>
            <w:r w:rsidR="00526C4C">
              <w:rPr>
                <w:noProof/>
                <w:webHidden/>
              </w:rPr>
              <w:instrText xml:space="preserve"> PAGEREF _Toc11685823 \h </w:instrText>
            </w:r>
            <w:r w:rsidR="00526C4C">
              <w:rPr>
                <w:noProof/>
                <w:webHidden/>
              </w:rPr>
            </w:r>
            <w:r w:rsidR="00526C4C">
              <w:rPr>
                <w:noProof/>
                <w:webHidden/>
              </w:rPr>
              <w:fldChar w:fldCharType="separate"/>
            </w:r>
            <w:r w:rsidR="00526C4C">
              <w:rPr>
                <w:noProof/>
                <w:webHidden/>
              </w:rPr>
              <w:t>18</w:t>
            </w:r>
            <w:r w:rsidR="00526C4C">
              <w:rPr>
                <w:noProof/>
                <w:webHidden/>
              </w:rPr>
              <w:fldChar w:fldCharType="end"/>
            </w:r>
          </w:hyperlink>
        </w:p>
        <w:p w14:paraId="22B74396" w14:textId="77777777" w:rsidR="00526C4C" w:rsidRDefault="00813E9C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24" w:history="1">
            <w:r w:rsidR="00526C4C" w:rsidRPr="00A14037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526C4C">
              <w:rPr>
                <w:noProof/>
                <w:webHidden/>
              </w:rPr>
              <w:tab/>
            </w:r>
            <w:r w:rsidR="00526C4C">
              <w:rPr>
                <w:noProof/>
                <w:webHidden/>
              </w:rPr>
              <w:fldChar w:fldCharType="begin"/>
            </w:r>
            <w:r w:rsidR="00526C4C">
              <w:rPr>
                <w:noProof/>
                <w:webHidden/>
              </w:rPr>
              <w:instrText xml:space="preserve"> PAGEREF _Toc11685824 \h </w:instrText>
            </w:r>
            <w:r w:rsidR="00526C4C">
              <w:rPr>
                <w:noProof/>
                <w:webHidden/>
              </w:rPr>
            </w:r>
            <w:r w:rsidR="00526C4C">
              <w:rPr>
                <w:noProof/>
                <w:webHidden/>
              </w:rPr>
              <w:fldChar w:fldCharType="separate"/>
            </w:r>
            <w:r w:rsidR="00526C4C">
              <w:rPr>
                <w:noProof/>
                <w:webHidden/>
              </w:rPr>
              <w:t>19</w:t>
            </w:r>
            <w:r w:rsidR="00526C4C">
              <w:rPr>
                <w:noProof/>
                <w:webHidden/>
              </w:rPr>
              <w:fldChar w:fldCharType="end"/>
            </w:r>
          </w:hyperlink>
        </w:p>
        <w:p w14:paraId="6BA88CD5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25" w:history="1">
            <w:r w:rsidR="00526C4C" w:rsidRPr="00A14037">
              <w:rPr>
                <w:rStyle w:val="Hiperhivatkozs"/>
              </w:rPr>
              <w:t>IV.1. Előlegre vonatkozó szabályok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_Toc11685825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19</w:t>
            </w:r>
            <w:r w:rsidR="00526C4C">
              <w:rPr>
                <w:webHidden/>
              </w:rPr>
              <w:fldChar w:fldCharType="end"/>
            </w:r>
          </w:hyperlink>
        </w:p>
        <w:p w14:paraId="3C2FC230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26" w:history="1">
            <w:r w:rsidR="00526C4C" w:rsidRPr="00A14037">
              <w:rPr>
                <w:rStyle w:val="Hiperhivatkozs"/>
              </w:rPr>
              <w:t>IV.2. Az elszámolhatóság általános feltételei: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_Toc11685826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19</w:t>
            </w:r>
            <w:r w:rsidR="00526C4C">
              <w:rPr>
                <w:webHidden/>
              </w:rPr>
              <w:fldChar w:fldCharType="end"/>
            </w:r>
          </w:hyperlink>
        </w:p>
        <w:p w14:paraId="0F397A31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27" w:history="1">
            <w:r w:rsidR="00526C4C" w:rsidRPr="00A14037">
              <w:rPr>
                <w:rStyle w:val="Hiperhivatkozs"/>
              </w:rPr>
              <w:t>IV.3. Az elszámolható költségek köre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_Toc11685827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23</w:t>
            </w:r>
            <w:r w:rsidR="00526C4C">
              <w:rPr>
                <w:webHidden/>
              </w:rPr>
              <w:fldChar w:fldCharType="end"/>
            </w:r>
          </w:hyperlink>
        </w:p>
        <w:p w14:paraId="2B11599B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28" w:history="1">
            <w:r w:rsidR="00526C4C" w:rsidRPr="00A14037">
              <w:rPr>
                <w:rStyle w:val="Hiperhivatkozs"/>
              </w:rPr>
              <w:t>IV.3.1. Projekt előkészítés költségei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_Toc11685828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24</w:t>
            </w:r>
            <w:r w:rsidR="00526C4C">
              <w:rPr>
                <w:webHidden/>
              </w:rPr>
              <w:fldChar w:fldCharType="end"/>
            </w:r>
          </w:hyperlink>
        </w:p>
        <w:p w14:paraId="53A764CD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29" w:history="1">
            <w:r w:rsidR="00526C4C" w:rsidRPr="00A14037">
              <w:rPr>
                <w:rStyle w:val="Hiperhivatkozs"/>
              </w:rPr>
              <w:t>IV.3.2. Beruházáshoz kapcsolódó költségek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_Toc11685829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25</w:t>
            </w:r>
            <w:r w:rsidR="00526C4C">
              <w:rPr>
                <w:webHidden/>
              </w:rPr>
              <w:fldChar w:fldCharType="end"/>
            </w:r>
          </w:hyperlink>
        </w:p>
        <w:p w14:paraId="57D2EFFA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30" w:history="1">
            <w:r w:rsidR="00526C4C" w:rsidRPr="00A14037">
              <w:rPr>
                <w:rStyle w:val="Hiperhivatkozs"/>
              </w:rPr>
              <w:t>IV.3.3. Szakmai megvalósításhoz kapcsolódó szolgáltatások költségei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_Toc11685830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28</w:t>
            </w:r>
            <w:r w:rsidR="00526C4C">
              <w:rPr>
                <w:webHidden/>
              </w:rPr>
              <w:fldChar w:fldCharType="end"/>
            </w:r>
          </w:hyperlink>
        </w:p>
        <w:p w14:paraId="524D2C0D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31" w:history="1">
            <w:r w:rsidR="00526C4C" w:rsidRPr="00A14037">
              <w:rPr>
                <w:rStyle w:val="Hiperhivatkozs"/>
              </w:rPr>
              <w:t>IV.3.4. Szakmai megvalósításában közreműködők költségei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_Toc11685831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30</w:t>
            </w:r>
            <w:r w:rsidR="00526C4C">
              <w:rPr>
                <w:webHidden/>
              </w:rPr>
              <w:fldChar w:fldCharType="end"/>
            </w:r>
          </w:hyperlink>
        </w:p>
        <w:p w14:paraId="759FCD94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32" w:history="1">
            <w:r w:rsidR="00526C4C" w:rsidRPr="00A14037">
              <w:rPr>
                <w:rStyle w:val="Hiperhivatkozs"/>
              </w:rPr>
              <w:t>IV.3.5</w:t>
            </w:r>
            <w:r w:rsidR="00526C4C" w:rsidRPr="00A14037">
              <w:rPr>
                <w:rStyle w:val="Hiperhivatkozs"/>
                <w:lang w:eastAsia="hu-HU"/>
              </w:rPr>
              <w:t>. Szakmai megvalósításhoz kapcsolódó egyéb költségek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_Toc11685832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33</w:t>
            </w:r>
            <w:r w:rsidR="00526C4C">
              <w:rPr>
                <w:webHidden/>
              </w:rPr>
              <w:fldChar w:fldCharType="end"/>
            </w:r>
          </w:hyperlink>
        </w:p>
        <w:p w14:paraId="0E9EA553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33" w:history="1">
            <w:r w:rsidR="00526C4C" w:rsidRPr="00A14037">
              <w:rPr>
                <w:rStyle w:val="Hiperhivatkozs"/>
              </w:rPr>
              <w:t>IV.3.6</w:t>
            </w:r>
            <w:r w:rsidR="00526C4C" w:rsidRPr="00A14037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_Toc11685833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33</w:t>
            </w:r>
            <w:r w:rsidR="00526C4C">
              <w:rPr>
                <w:webHidden/>
              </w:rPr>
              <w:fldChar w:fldCharType="end"/>
            </w:r>
          </w:hyperlink>
        </w:p>
        <w:p w14:paraId="77390CAF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34" w:history="1">
            <w:r w:rsidR="00526C4C" w:rsidRPr="00A14037">
              <w:rPr>
                <w:rStyle w:val="Hiperhivatkozs"/>
              </w:rPr>
              <w:t>IV.3.7. Projektmenedzsment költségek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_Toc11685834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33</w:t>
            </w:r>
            <w:r w:rsidR="00526C4C">
              <w:rPr>
                <w:webHidden/>
              </w:rPr>
              <w:fldChar w:fldCharType="end"/>
            </w:r>
          </w:hyperlink>
        </w:p>
        <w:p w14:paraId="62A883DE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35" w:history="1">
            <w:r w:rsidR="00526C4C" w:rsidRPr="00A14037">
              <w:rPr>
                <w:rStyle w:val="Hiperhivatkozs"/>
              </w:rPr>
              <w:t>IV.3.8. Közvetett költség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_Toc11685835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34</w:t>
            </w:r>
            <w:r w:rsidR="00526C4C">
              <w:rPr>
                <w:webHidden/>
              </w:rPr>
              <w:fldChar w:fldCharType="end"/>
            </w:r>
          </w:hyperlink>
        </w:p>
        <w:p w14:paraId="75D7C3DF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36" w:history="1">
            <w:r w:rsidR="00526C4C" w:rsidRPr="00A14037">
              <w:rPr>
                <w:rStyle w:val="Hiperhivatkozs"/>
              </w:rPr>
              <w:t>IV.4. A projekt végrehajtás további szabályai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_Toc11685836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35</w:t>
            </w:r>
            <w:r w:rsidR="00526C4C">
              <w:rPr>
                <w:webHidden/>
              </w:rPr>
              <w:fldChar w:fldCharType="end"/>
            </w:r>
          </w:hyperlink>
        </w:p>
        <w:p w14:paraId="71823540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37" w:history="1">
            <w:r w:rsidR="00526C4C" w:rsidRPr="00A14037">
              <w:rPr>
                <w:rStyle w:val="Hiperhivatkozs"/>
              </w:rPr>
              <w:t>IV.5. Nem elszámolható költségek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_Toc11685837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35</w:t>
            </w:r>
            <w:r w:rsidR="00526C4C">
              <w:rPr>
                <w:webHidden/>
              </w:rPr>
              <w:fldChar w:fldCharType="end"/>
            </w:r>
          </w:hyperlink>
        </w:p>
        <w:p w14:paraId="2B41C02D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38" w:history="1">
            <w:r w:rsidR="00526C4C" w:rsidRPr="00A14037">
              <w:rPr>
                <w:rStyle w:val="Hiperhivatkozs"/>
              </w:rPr>
              <w:t>IV.6. Bevételek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_Toc11685838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36</w:t>
            </w:r>
            <w:r w:rsidR="00526C4C">
              <w:rPr>
                <w:webHidden/>
              </w:rPr>
              <w:fldChar w:fldCharType="end"/>
            </w:r>
          </w:hyperlink>
        </w:p>
        <w:p w14:paraId="147655CB" w14:textId="77777777" w:rsidR="00526C4C" w:rsidRDefault="00813E9C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39" w:history="1">
            <w:r w:rsidR="00526C4C" w:rsidRPr="00A14037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526C4C">
              <w:rPr>
                <w:noProof/>
                <w:webHidden/>
              </w:rPr>
              <w:tab/>
            </w:r>
            <w:r w:rsidR="00526C4C">
              <w:rPr>
                <w:noProof/>
                <w:webHidden/>
              </w:rPr>
              <w:fldChar w:fldCharType="begin"/>
            </w:r>
            <w:r w:rsidR="00526C4C">
              <w:rPr>
                <w:noProof/>
                <w:webHidden/>
              </w:rPr>
              <w:instrText xml:space="preserve"> PAGEREF _Toc11685839 \h </w:instrText>
            </w:r>
            <w:r w:rsidR="00526C4C">
              <w:rPr>
                <w:noProof/>
                <w:webHidden/>
              </w:rPr>
            </w:r>
            <w:r w:rsidR="00526C4C">
              <w:rPr>
                <w:noProof/>
                <w:webHidden/>
              </w:rPr>
              <w:fldChar w:fldCharType="separate"/>
            </w:r>
            <w:r w:rsidR="00526C4C">
              <w:rPr>
                <w:noProof/>
                <w:webHidden/>
              </w:rPr>
              <w:t>37</w:t>
            </w:r>
            <w:r w:rsidR="00526C4C">
              <w:rPr>
                <w:noProof/>
                <w:webHidden/>
              </w:rPr>
              <w:fldChar w:fldCharType="end"/>
            </w:r>
          </w:hyperlink>
        </w:p>
        <w:p w14:paraId="1AC5FF40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40" w:history="1">
            <w:r w:rsidR="00526C4C" w:rsidRPr="00A14037">
              <w:rPr>
                <w:rStyle w:val="Hiperhivatkozs"/>
              </w:rPr>
              <w:t>V.1 Értékelési szempontrendszer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_Toc11685840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37</w:t>
            </w:r>
            <w:r w:rsidR="00526C4C">
              <w:rPr>
                <w:webHidden/>
              </w:rPr>
              <w:fldChar w:fldCharType="end"/>
            </w:r>
          </w:hyperlink>
        </w:p>
        <w:p w14:paraId="38DDFE10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41" w:history="1">
            <w:r w:rsidR="00526C4C" w:rsidRPr="00A14037">
              <w:rPr>
                <w:rStyle w:val="Hiperhivatkozs"/>
              </w:rPr>
              <w:t>V.2 Nem támogatható a pályázat, amennyiben: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_Toc11685841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44</w:t>
            </w:r>
            <w:r w:rsidR="00526C4C">
              <w:rPr>
                <w:webHidden/>
              </w:rPr>
              <w:fldChar w:fldCharType="end"/>
            </w:r>
          </w:hyperlink>
        </w:p>
        <w:p w14:paraId="37686E0D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42" w:history="1">
            <w:r w:rsidR="00526C4C" w:rsidRPr="00A14037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_Toc11685842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45</w:t>
            </w:r>
            <w:r w:rsidR="00526C4C">
              <w:rPr>
                <w:webHidden/>
              </w:rPr>
              <w:fldChar w:fldCharType="end"/>
            </w:r>
          </w:hyperlink>
        </w:p>
        <w:p w14:paraId="3C52B214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43" w:history="1">
            <w:r w:rsidR="00526C4C" w:rsidRPr="00A14037">
              <w:rPr>
                <w:rStyle w:val="Hiperhivatkozs"/>
              </w:rPr>
              <w:t>V.4. Hiánypótlás, tisztázó kérdés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_Toc11685843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45</w:t>
            </w:r>
            <w:r w:rsidR="00526C4C">
              <w:rPr>
                <w:webHidden/>
              </w:rPr>
              <w:fldChar w:fldCharType="end"/>
            </w:r>
          </w:hyperlink>
        </w:p>
        <w:p w14:paraId="4B867C70" w14:textId="77777777" w:rsidR="00526C4C" w:rsidRDefault="00813E9C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44" w:history="1">
            <w:r w:rsidR="00526C4C" w:rsidRPr="00A14037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526C4C">
              <w:rPr>
                <w:noProof/>
                <w:webHidden/>
              </w:rPr>
              <w:tab/>
            </w:r>
            <w:r w:rsidR="00526C4C">
              <w:rPr>
                <w:noProof/>
                <w:webHidden/>
              </w:rPr>
              <w:fldChar w:fldCharType="begin"/>
            </w:r>
            <w:r w:rsidR="00526C4C">
              <w:rPr>
                <w:noProof/>
                <w:webHidden/>
              </w:rPr>
              <w:instrText xml:space="preserve"> PAGEREF _Toc11685844 \h </w:instrText>
            </w:r>
            <w:r w:rsidR="00526C4C">
              <w:rPr>
                <w:noProof/>
                <w:webHidden/>
              </w:rPr>
            </w:r>
            <w:r w:rsidR="00526C4C">
              <w:rPr>
                <w:noProof/>
                <w:webHidden/>
              </w:rPr>
              <w:fldChar w:fldCharType="separate"/>
            </w:r>
            <w:r w:rsidR="00526C4C">
              <w:rPr>
                <w:noProof/>
                <w:webHidden/>
              </w:rPr>
              <w:t>46</w:t>
            </w:r>
            <w:r w:rsidR="00526C4C">
              <w:rPr>
                <w:noProof/>
                <w:webHidden/>
              </w:rPr>
              <w:fldChar w:fldCharType="end"/>
            </w:r>
          </w:hyperlink>
        </w:p>
        <w:p w14:paraId="01609FFF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45" w:history="1">
            <w:r w:rsidR="00526C4C" w:rsidRPr="00A14037">
              <w:rPr>
                <w:rStyle w:val="Hiperhivatkozs"/>
              </w:rPr>
              <w:t>VI.1. Ellenőrzési tevékenységek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_Toc11685845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46</w:t>
            </w:r>
            <w:r w:rsidR="00526C4C">
              <w:rPr>
                <w:webHidden/>
              </w:rPr>
              <w:fldChar w:fldCharType="end"/>
            </w:r>
          </w:hyperlink>
        </w:p>
        <w:p w14:paraId="72E69BCD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46" w:history="1">
            <w:r w:rsidR="00526C4C" w:rsidRPr="00A14037">
              <w:rPr>
                <w:rStyle w:val="Hiperhivatkozs"/>
              </w:rPr>
              <w:t>VI.1.1. A Felelős Hatóság ellenőrző tevékenysége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_Toc11685846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46</w:t>
            </w:r>
            <w:r w:rsidR="00526C4C">
              <w:rPr>
                <w:webHidden/>
              </w:rPr>
              <w:fldChar w:fldCharType="end"/>
            </w:r>
          </w:hyperlink>
        </w:p>
        <w:p w14:paraId="13F40116" w14:textId="77777777" w:rsidR="00526C4C" w:rsidRDefault="00813E9C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847" w:history="1">
            <w:r w:rsidR="00526C4C" w:rsidRPr="00A14037">
              <w:rPr>
                <w:rStyle w:val="Hiperhivatkozs"/>
              </w:rPr>
              <w:t>VI.1.2. Egyéb szervezetek ellenőrző tevékenysége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_Toc11685847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48</w:t>
            </w:r>
            <w:r w:rsidR="00526C4C">
              <w:rPr>
                <w:webHidden/>
              </w:rPr>
              <w:fldChar w:fldCharType="end"/>
            </w:r>
          </w:hyperlink>
        </w:p>
        <w:p w14:paraId="12DA6084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48" w:history="1">
            <w:r w:rsidR="00526C4C" w:rsidRPr="00A14037">
              <w:rPr>
                <w:rStyle w:val="Hiperhivatkozs"/>
              </w:rPr>
              <w:t>VI.2. Adatszolgáltatási kötelezettség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_Toc11685848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48</w:t>
            </w:r>
            <w:r w:rsidR="00526C4C">
              <w:rPr>
                <w:webHidden/>
              </w:rPr>
              <w:fldChar w:fldCharType="end"/>
            </w:r>
          </w:hyperlink>
        </w:p>
        <w:p w14:paraId="5EB57248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49" w:history="1">
            <w:r w:rsidR="00526C4C" w:rsidRPr="00A14037">
              <w:rPr>
                <w:rStyle w:val="Hiperhivatkozs"/>
              </w:rPr>
              <w:t>VI.3. Láthatóság és disszemináció biztosítása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_Toc11685849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49</w:t>
            </w:r>
            <w:r w:rsidR="00526C4C">
              <w:rPr>
                <w:webHidden/>
              </w:rPr>
              <w:fldChar w:fldCharType="end"/>
            </w:r>
          </w:hyperlink>
        </w:p>
        <w:p w14:paraId="71EE1530" w14:textId="77777777" w:rsidR="00526C4C" w:rsidRDefault="00813E9C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50" w:history="1">
            <w:r w:rsidR="00526C4C" w:rsidRPr="00A14037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526C4C">
              <w:rPr>
                <w:noProof/>
                <w:webHidden/>
              </w:rPr>
              <w:tab/>
            </w:r>
            <w:r w:rsidR="00526C4C">
              <w:rPr>
                <w:noProof/>
                <w:webHidden/>
              </w:rPr>
              <w:fldChar w:fldCharType="begin"/>
            </w:r>
            <w:r w:rsidR="00526C4C">
              <w:rPr>
                <w:noProof/>
                <w:webHidden/>
              </w:rPr>
              <w:instrText xml:space="preserve"> PAGEREF _Toc11685850 \h </w:instrText>
            </w:r>
            <w:r w:rsidR="00526C4C">
              <w:rPr>
                <w:noProof/>
                <w:webHidden/>
              </w:rPr>
            </w:r>
            <w:r w:rsidR="00526C4C">
              <w:rPr>
                <w:noProof/>
                <w:webHidden/>
              </w:rPr>
              <w:fldChar w:fldCharType="separate"/>
            </w:r>
            <w:r w:rsidR="00526C4C">
              <w:rPr>
                <w:noProof/>
                <w:webHidden/>
              </w:rPr>
              <w:t>49</w:t>
            </w:r>
            <w:r w:rsidR="00526C4C">
              <w:rPr>
                <w:noProof/>
                <w:webHidden/>
              </w:rPr>
              <w:fldChar w:fldCharType="end"/>
            </w:r>
          </w:hyperlink>
        </w:p>
        <w:p w14:paraId="55AFB4E4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51" w:history="1">
            <w:r w:rsidR="00526C4C" w:rsidRPr="00A14037">
              <w:rPr>
                <w:rStyle w:val="Hiperhivatkozs"/>
              </w:rPr>
              <w:t>VII.1 Betekintési jog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_Toc11685851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49</w:t>
            </w:r>
            <w:r w:rsidR="00526C4C">
              <w:rPr>
                <w:webHidden/>
              </w:rPr>
              <w:fldChar w:fldCharType="end"/>
            </w:r>
          </w:hyperlink>
        </w:p>
        <w:p w14:paraId="50BB82BE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52" w:history="1">
            <w:r w:rsidR="00526C4C" w:rsidRPr="00A14037">
              <w:rPr>
                <w:rStyle w:val="Hiperhivatkozs"/>
              </w:rPr>
              <w:t>VII.2. Kifogás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_Toc11685852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49</w:t>
            </w:r>
            <w:r w:rsidR="00526C4C">
              <w:rPr>
                <w:webHidden/>
              </w:rPr>
              <w:fldChar w:fldCharType="end"/>
            </w:r>
          </w:hyperlink>
        </w:p>
        <w:p w14:paraId="44938CCA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53" w:history="1">
            <w:r w:rsidR="00526C4C" w:rsidRPr="00A14037">
              <w:rPr>
                <w:rStyle w:val="Hiperhivatkozs"/>
              </w:rPr>
              <w:t>VII.3. A Támogatási Szerződés megkötésének módja, feltételei (biztosítékok)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_Toc11685853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50</w:t>
            </w:r>
            <w:r w:rsidR="00526C4C">
              <w:rPr>
                <w:webHidden/>
              </w:rPr>
              <w:fldChar w:fldCharType="end"/>
            </w:r>
          </w:hyperlink>
        </w:p>
        <w:p w14:paraId="6B8CEC16" w14:textId="77777777" w:rsidR="00526C4C" w:rsidRDefault="00813E9C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854" w:history="1">
            <w:r w:rsidR="00526C4C" w:rsidRPr="00A14037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526C4C">
              <w:rPr>
                <w:noProof/>
                <w:webHidden/>
              </w:rPr>
              <w:tab/>
            </w:r>
            <w:r w:rsidR="00526C4C">
              <w:rPr>
                <w:noProof/>
                <w:webHidden/>
              </w:rPr>
              <w:fldChar w:fldCharType="begin"/>
            </w:r>
            <w:r w:rsidR="00526C4C">
              <w:rPr>
                <w:noProof/>
                <w:webHidden/>
              </w:rPr>
              <w:instrText xml:space="preserve"> PAGEREF _Toc11685854 \h </w:instrText>
            </w:r>
            <w:r w:rsidR="00526C4C">
              <w:rPr>
                <w:noProof/>
                <w:webHidden/>
              </w:rPr>
            </w:r>
            <w:r w:rsidR="00526C4C">
              <w:rPr>
                <w:noProof/>
                <w:webHidden/>
              </w:rPr>
              <w:fldChar w:fldCharType="separate"/>
            </w:r>
            <w:r w:rsidR="00526C4C">
              <w:rPr>
                <w:noProof/>
                <w:webHidden/>
              </w:rPr>
              <w:t>51</w:t>
            </w:r>
            <w:r w:rsidR="00526C4C">
              <w:rPr>
                <w:noProof/>
                <w:webHidden/>
              </w:rPr>
              <w:fldChar w:fldCharType="end"/>
            </w:r>
          </w:hyperlink>
        </w:p>
        <w:p w14:paraId="1849E581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55" w:history="1">
            <w:r w:rsidR="00526C4C" w:rsidRPr="00A14037">
              <w:rPr>
                <w:rStyle w:val="Hiperhivatkozs"/>
              </w:rPr>
              <w:t>VIII.1. Támogatási Szerződés minta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_Toc11685855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51</w:t>
            </w:r>
            <w:r w:rsidR="00526C4C">
              <w:rPr>
                <w:webHidden/>
              </w:rPr>
              <w:fldChar w:fldCharType="end"/>
            </w:r>
          </w:hyperlink>
        </w:p>
        <w:p w14:paraId="65F653B6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56" w:history="1">
            <w:r w:rsidR="00526C4C" w:rsidRPr="00A14037">
              <w:rPr>
                <w:rStyle w:val="Hiperhivatkozs"/>
              </w:rPr>
              <w:t>VIII.2. Az Általános Szerződési Feltételek dokumentuma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_Toc11685856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51</w:t>
            </w:r>
            <w:r w:rsidR="00526C4C">
              <w:rPr>
                <w:webHidden/>
              </w:rPr>
              <w:fldChar w:fldCharType="end"/>
            </w:r>
          </w:hyperlink>
        </w:p>
        <w:p w14:paraId="35F662C1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57" w:history="1">
            <w:r w:rsidR="00526C4C" w:rsidRPr="00A14037">
              <w:rPr>
                <w:rStyle w:val="Hiperhivatkozs"/>
              </w:rPr>
              <w:t>VIII.3. Választható indikátorok listája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_Toc11685857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52</w:t>
            </w:r>
            <w:r w:rsidR="00526C4C">
              <w:rPr>
                <w:webHidden/>
              </w:rPr>
              <w:fldChar w:fldCharType="end"/>
            </w:r>
          </w:hyperlink>
        </w:p>
        <w:p w14:paraId="483766B2" w14:textId="77777777" w:rsidR="00526C4C" w:rsidRDefault="00813E9C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858" w:history="1">
            <w:r w:rsidR="00526C4C" w:rsidRPr="00A14037">
              <w:rPr>
                <w:rStyle w:val="Hiperhivatkozs"/>
              </w:rPr>
              <w:t>VIII.4. Pályázat adattartalma</w:t>
            </w:r>
            <w:r w:rsidR="00526C4C">
              <w:rPr>
                <w:webHidden/>
              </w:rPr>
              <w:tab/>
            </w:r>
            <w:r w:rsidR="00526C4C">
              <w:rPr>
                <w:webHidden/>
              </w:rPr>
              <w:fldChar w:fldCharType="begin"/>
            </w:r>
            <w:r w:rsidR="00526C4C">
              <w:rPr>
                <w:webHidden/>
              </w:rPr>
              <w:instrText xml:space="preserve"> PAGEREF _Toc11685858 \h </w:instrText>
            </w:r>
            <w:r w:rsidR="00526C4C">
              <w:rPr>
                <w:webHidden/>
              </w:rPr>
            </w:r>
            <w:r w:rsidR="00526C4C">
              <w:rPr>
                <w:webHidden/>
              </w:rPr>
              <w:fldChar w:fldCharType="separate"/>
            </w:r>
            <w:r w:rsidR="00526C4C">
              <w:rPr>
                <w:webHidden/>
              </w:rPr>
              <w:t>54</w:t>
            </w:r>
            <w:r w:rsidR="00526C4C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80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81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81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F23507">
        <w:rPr>
          <w:rFonts w:ascii="Times New Roman" w:hAnsi="Times New Roman"/>
          <w:sz w:val="24"/>
          <w:szCs w:val="24"/>
        </w:rPr>
        <w:t xml:space="preserve">kérelmek </w:t>
      </w:r>
      <w:r w:rsidRPr="00F23507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23507">
        <w:rPr>
          <w:rFonts w:ascii="Times New Roman" w:hAnsi="Times New Roman"/>
          <w:b/>
          <w:bCs/>
          <w:sz w:val="24"/>
          <w:szCs w:val="24"/>
        </w:rPr>
        <w:t>9</w:t>
      </w:r>
      <w:r w:rsidRPr="00F2350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23507">
        <w:rPr>
          <w:rFonts w:ascii="Times New Roman" w:hAnsi="Times New Roman"/>
          <w:b/>
          <w:bCs/>
          <w:sz w:val="24"/>
          <w:szCs w:val="24"/>
        </w:rPr>
        <w:t>augusztus 29-én</w:t>
      </w:r>
      <w:r w:rsidRPr="00F23507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21158B0D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szerződéskötés várható időpontja</w:t>
      </w:r>
      <w:r w:rsidRPr="00E4568D">
        <w:rPr>
          <w:rFonts w:ascii="Times New Roman" w:hAnsi="Times New Roman"/>
          <w:sz w:val="24"/>
          <w:szCs w:val="24"/>
        </w:rPr>
        <w:t xml:space="preserve">: </w:t>
      </w:r>
      <w:r w:rsidR="00C16CE9" w:rsidRPr="00E4568D">
        <w:rPr>
          <w:rFonts w:ascii="Times New Roman" w:hAnsi="Times New Roman"/>
          <w:sz w:val="24"/>
          <w:szCs w:val="24"/>
          <w:lang w:eastAsia="fr-BE"/>
        </w:rPr>
        <w:t>2019</w:t>
      </w:r>
      <w:r w:rsidRPr="00E4568D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E4568D">
        <w:rPr>
          <w:rFonts w:ascii="Times New Roman" w:hAnsi="Times New Roman"/>
          <w:sz w:val="24"/>
          <w:szCs w:val="24"/>
          <w:lang w:eastAsia="fr-BE"/>
        </w:rPr>
        <w:t>I</w:t>
      </w:r>
      <w:r w:rsidRPr="00E4568D">
        <w:rPr>
          <w:rFonts w:ascii="Times New Roman" w:hAnsi="Times New Roman"/>
          <w:sz w:val="24"/>
          <w:szCs w:val="24"/>
          <w:lang w:eastAsia="fr-BE"/>
        </w:rPr>
        <w:t>. félév.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81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317C3936" w14:textId="12FA2369" w:rsidR="00933F5D" w:rsidRPr="00933F5D" w:rsidRDefault="00813E9C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20" w:history="1">
        <w:r w:rsidR="002664E3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lastRenderedPageBreak/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81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81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2B45C08C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E4568D" w:rsidRPr="00E4568D">
        <w:rPr>
          <w:rFonts w:ascii="Times New Roman" w:hAnsi="Times New Roman"/>
          <w:b/>
          <w:noProof/>
          <w:sz w:val="24"/>
          <w:szCs w:val="24"/>
        </w:rPr>
        <w:t>1</w:t>
      </w:r>
      <w:r w:rsidR="00E4568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4568D" w:rsidRPr="00E4568D">
        <w:rPr>
          <w:rFonts w:ascii="Times New Roman" w:hAnsi="Times New Roman"/>
          <w:b/>
          <w:noProof/>
          <w:sz w:val="24"/>
          <w:szCs w:val="24"/>
        </w:rPr>
        <w:t>100</w:t>
      </w:r>
      <w:r w:rsidR="00E4568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4568D" w:rsidRPr="00E4568D">
        <w:rPr>
          <w:rFonts w:ascii="Times New Roman" w:hAnsi="Times New Roman"/>
          <w:b/>
          <w:noProof/>
          <w:sz w:val="24"/>
          <w:szCs w:val="24"/>
        </w:rPr>
        <w:t>000</w:t>
      </w:r>
      <w:r w:rsidR="00E4568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4568D" w:rsidRPr="00E4568D">
        <w:rPr>
          <w:rFonts w:ascii="Times New Roman" w:hAnsi="Times New Roman"/>
          <w:b/>
          <w:noProof/>
          <w:sz w:val="24"/>
          <w:szCs w:val="24"/>
        </w:rPr>
        <w:t>000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813E9C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1463CCBB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971FC1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6CAA9531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E4568D">
        <w:rPr>
          <w:rFonts w:ascii="Times New Roman" w:hAnsi="Times New Roman"/>
          <w:b/>
          <w:sz w:val="24"/>
          <w:szCs w:val="24"/>
        </w:rPr>
        <w:t xml:space="preserve">50 000 </w:t>
      </w:r>
      <w:proofErr w:type="spellStart"/>
      <w:r w:rsidR="00E4568D">
        <w:rPr>
          <w:rFonts w:ascii="Times New Roman" w:hAnsi="Times New Roman"/>
          <w:b/>
          <w:sz w:val="24"/>
          <w:szCs w:val="24"/>
        </w:rPr>
        <w:t>000</w:t>
      </w:r>
      <w:proofErr w:type="spellEnd"/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7E897DA7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E4568D">
        <w:rPr>
          <w:rFonts w:ascii="Times New Roman" w:hAnsi="Times New Roman"/>
          <w:b/>
          <w:sz w:val="24"/>
          <w:szCs w:val="24"/>
          <w:lang w:eastAsia="fr-BE"/>
        </w:rPr>
        <w:t xml:space="preserve">1 100 000 </w:t>
      </w:r>
      <w:proofErr w:type="spellStart"/>
      <w:r w:rsidR="00E4568D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5435FD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815"/>
      <w:r w:rsidRPr="00526488">
        <w:rPr>
          <w:rFonts w:ascii="Times New Roman" w:hAnsi="Times New Roman"/>
          <w:color w:val="auto"/>
        </w:rPr>
        <w:lastRenderedPageBreak/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81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81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57AAD18B" w14:textId="4F35B70F" w:rsidR="003A0AB5" w:rsidRPr="003A0AB5" w:rsidRDefault="0032087D" w:rsidP="003A0AB5">
      <w:pPr>
        <w:pStyle w:val="CM4"/>
        <w:jc w:val="both"/>
        <w:rPr>
          <w:rFonts w:ascii="Times New Roman" w:hAnsi="Times New Roman"/>
          <w:u w:val="single"/>
        </w:rPr>
      </w:pPr>
      <w:r w:rsidRPr="003A0AB5">
        <w:rPr>
          <w:rFonts w:ascii="Times New Roman" w:hAnsi="Times New Roman"/>
          <w:u w:val="single"/>
        </w:rPr>
        <w:t xml:space="preserve">Az intézkedés célja: </w:t>
      </w:r>
    </w:p>
    <w:p w14:paraId="15F0CCCC" w14:textId="77777777" w:rsidR="003A0AB5" w:rsidRDefault="003A0AB5" w:rsidP="004B4646">
      <w:pPr>
        <w:pStyle w:val="CM4"/>
        <w:jc w:val="both"/>
        <w:rPr>
          <w:rFonts w:ascii="Times New Roman" w:hAnsi="Times New Roman"/>
        </w:rPr>
      </w:pPr>
    </w:p>
    <w:p w14:paraId="14D16F9F" w14:textId="2B3CDC77" w:rsidR="004B4646" w:rsidRPr="00CF3290" w:rsidRDefault="004B4646" w:rsidP="004B4646">
      <w:pPr>
        <w:pStyle w:val="CM4"/>
        <w:jc w:val="both"/>
        <w:rPr>
          <w:rFonts w:ascii="Times New Roman" w:hAnsi="Times New Roman"/>
        </w:rPr>
      </w:pPr>
      <w:r w:rsidRPr="00CF3290">
        <w:rPr>
          <w:rFonts w:ascii="Times New Roman" w:hAnsi="Times New Roman"/>
        </w:rPr>
        <w:t xml:space="preserve">A kritikus infrastruktúrák </w:t>
      </w:r>
      <w:proofErr w:type="spellStart"/>
      <w:r w:rsidRPr="00CF3290">
        <w:rPr>
          <w:rFonts w:ascii="Times New Roman" w:hAnsi="Times New Roman"/>
        </w:rPr>
        <w:t>kibertámadásokkal</w:t>
      </w:r>
      <w:proofErr w:type="spellEnd"/>
      <w:r w:rsidRPr="00CF3290">
        <w:rPr>
          <w:rFonts w:ascii="Times New Roman" w:hAnsi="Times New Roman"/>
        </w:rPr>
        <w:t xml:space="preserve"> szembeni fokozott védelme céljából –</w:t>
      </w:r>
      <w:r>
        <w:rPr>
          <w:rFonts w:ascii="Times New Roman" w:hAnsi="Times New Roman"/>
        </w:rPr>
        <w:t xml:space="preserve"> </w:t>
      </w:r>
      <w:r w:rsidRPr="00CF3290">
        <w:rPr>
          <w:rFonts w:ascii="Times New Roman" w:hAnsi="Times New Roman"/>
        </w:rPr>
        <w:t>válsá</w:t>
      </w:r>
      <w:r w:rsidRPr="00CF3290">
        <w:rPr>
          <w:rFonts w:ascii="Times New Roman" w:hAnsi="Times New Roman"/>
        </w:rPr>
        <w:t>g</w:t>
      </w:r>
      <w:r w:rsidRPr="00CF3290">
        <w:rPr>
          <w:rFonts w:ascii="Times New Roman" w:hAnsi="Times New Roman"/>
        </w:rPr>
        <w:t xml:space="preserve">helyzetben a </w:t>
      </w:r>
      <w:proofErr w:type="spellStart"/>
      <w:r w:rsidRPr="00CF3290">
        <w:rPr>
          <w:rFonts w:ascii="Times New Roman" w:hAnsi="Times New Roman"/>
        </w:rPr>
        <w:t>kibertámadások</w:t>
      </w:r>
      <w:proofErr w:type="spellEnd"/>
      <w:r w:rsidRPr="00CF3290">
        <w:rPr>
          <w:rFonts w:ascii="Times New Roman" w:hAnsi="Times New Roman"/>
        </w:rPr>
        <w:t xml:space="preserve"> nyomán jelentkező válságkezelési tevékenység koordinációj</w:t>
      </w:r>
      <w:r w:rsidRPr="00CF3290">
        <w:rPr>
          <w:rFonts w:ascii="Times New Roman" w:hAnsi="Times New Roman"/>
        </w:rPr>
        <w:t>á</w:t>
      </w:r>
      <w:r w:rsidRPr="00CF3290">
        <w:rPr>
          <w:rFonts w:ascii="Times New Roman" w:hAnsi="Times New Roman"/>
        </w:rPr>
        <w:t xml:space="preserve">nak segítése érdekében, válsághelyzet hiányában az adatgyűjtési, kommunikációs, képzési, </w:t>
      </w:r>
      <w:proofErr w:type="spellStart"/>
      <w:r w:rsidRPr="00CF3290">
        <w:rPr>
          <w:rFonts w:ascii="Times New Roman" w:hAnsi="Times New Roman"/>
        </w:rPr>
        <w:t>válságmegelőzési</w:t>
      </w:r>
      <w:proofErr w:type="spellEnd"/>
      <w:r w:rsidRPr="00CF3290">
        <w:rPr>
          <w:rFonts w:ascii="Times New Roman" w:hAnsi="Times New Roman"/>
        </w:rPr>
        <w:t>, kockázatelemzési és korai előre jelző mechanizmusok végzése céljából –</w:t>
      </w:r>
      <w:r>
        <w:rPr>
          <w:rFonts w:ascii="Times New Roman" w:hAnsi="Times New Roman"/>
        </w:rPr>
        <w:t xml:space="preserve"> e</w:t>
      </w:r>
      <w:r w:rsidRPr="00CF3290">
        <w:rPr>
          <w:rFonts w:ascii="Times New Roman" w:hAnsi="Times New Roman"/>
        </w:rPr>
        <w:t xml:space="preserve">seménykezelő </w:t>
      </w:r>
      <w:r>
        <w:rPr>
          <w:rFonts w:ascii="Times New Roman" w:hAnsi="Times New Roman"/>
        </w:rPr>
        <w:t>k</w:t>
      </w:r>
      <w:r w:rsidRPr="00CF3290">
        <w:rPr>
          <w:rFonts w:ascii="Times New Roman" w:hAnsi="Times New Roman"/>
        </w:rPr>
        <w:t>özpont</w:t>
      </w:r>
      <w:r>
        <w:rPr>
          <w:rFonts w:ascii="Times New Roman" w:hAnsi="Times New Roman"/>
        </w:rPr>
        <w:t>ok</w:t>
      </w:r>
      <w:r w:rsidRPr="00CF3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információtechnológiai és műszaki </w:t>
      </w:r>
      <w:r w:rsidRPr="00CF3290">
        <w:rPr>
          <w:rFonts w:ascii="Times New Roman" w:hAnsi="Times New Roman"/>
        </w:rPr>
        <w:t xml:space="preserve">kapacitásbővítése. </w:t>
      </w:r>
    </w:p>
    <w:p w14:paraId="41B3D48B" w14:textId="77777777" w:rsidR="004B4646" w:rsidRDefault="004B4646" w:rsidP="004B4646">
      <w:pPr>
        <w:pStyle w:val="CM4"/>
        <w:ind w:left="426"/>
        <w:jc w:val="both"/>
        <w:rPr>
          <w:rFonts w:ascii="Times New Roman" w:hAnsi="Times New Roman"/>
        </w:rPr>
      </w:pPr>
    </w:p>
    <w:p w14:paraId="2AEDB1AA" w14:textId="77777777" w:rsidR="004B4646" w:rsidRDefault="004B4646" w:rsidP="004B4646">
      <w:pPr>
        <w:pStyle w:val="CM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vegyi, biológiai, sugárzó, </w:t>
      </w:r>
      <w:r w:rsidRPr="00CF3290">
        <w:rPr>
          <w:rFonts w:ascii="Times New Roman" w:hAnsi="Times New Roman"/>
        </w:rPr>
        <w:t xml:space="preserve">nukleáris </w:t>
      </w:r>
      <w:r>
        <w:rPr>
          <w:rFonts w:ascii="Times New Roman" w:hAnsi="Times New Roman"/>
        </w:rPr>
        <w:t xml:space="preserve">vagy robbanó </w:t>
      </w:r>
      <w:r w:rsidRPr="00CF3290">
        <w:rPr>
          <w:rFonts w:ascii="Times New Roman" w:hAnsi="Times New Roman"/>
        </w:rPr>
        <w:t>anyaggal, illetve eszközzel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CBRN(</w:t>
      </w:r>
      <w:proofErr w:type="gramEnd"/>
      <w:r>
        <w:rPr>
          <w:rFonts w:ascii="Times New Roman" w:hAnsi="Times New Roman"/>
        </w:rPr>
        <w:t xml:space="preserve">E)) </w:t>
      </w:r>
      <w:r w:rsidRPr="00CF3290">
        <w:rPr>
          <w:rFonts w:ascii="Times New Roman" w:hAnsi="Times New Roman"/>
        </w:rPr>
        <w:t>a polgárok és a kritikus infrastruktúrák ellen tervezett vagy elkövetett cselekmények</w:t>
      </w:r>
      <w:r>
        <w:rPr>
          <w:rFonts w:ascii="Times New Roman" w:hAnsi="Times New Roman"/>
        </w:rPr>
        <w:t xml:space="preserve"> megelőz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séért és kezeléséért felelős egységek</w:t>
      </w:r>
      <w:r w:rsidRPr="00CF3290">
        <w:rPr>
          <w:rFonts w:ascii="Times New Roman" w:hAnsi="Times New Roman"/>
        </w:rPr>
        <w:t>,</w:t>
      </w:r>
      <w:r>
        <w:rPr>
          <w:rStyle w:val="Jegyzethivatkozs"/>
          <w:rFonts w:ascii="Calibri" w:hAnsi="Calibri"/>
        </w:rPr>
        <w:t xml:space="preserve"> </w:t>
      </w:r>
      <w:r>
        <w:rPr>
          <w:rFonts w:ascii="Times New Roman" w:hAnsi="Times New Roman"/>
        </w:rPr>
        <w:t xml:space="preserve">vagy e </w:t>
      </w:r>
      <w:r w:rsidRPr="00E66B19">
        <w:rPr>
          <w:rFonts w:ascii="Times New Roman" w:hAnsi="Times New Roman"/>
          <w:lang w:eastAsia="fr-BE"/>
        </w:rPr>
        <w:t>tevékenységeket horizontális, szolgáltat</w:t>
      </w:r>
      <w:r>
        <w:rPr>
          <w:rFonts w:ascii="Times New Roman" w:hAnsi="Times New Roman"/>
          <w:lang w:eastAsia="fr-BE"/>
        </w:rPr>
        <w:t>ó-támogató funkciók ellátásával</w:t>
      </w:r>
      <w:r>
        <w:rPr>
          <w:lang w:eastAsia="fr-BE"/>
        </w:rPr>
        <w:t xml:space="preserve"> vagy </w:t>
      </w:r>
      <w:r w:rsidRPr="00993394">
        <w:rPr>
          <w:lang w:eastAsia="fr-BE"/>
        </w:rPr>
        <w:t xml:space="preserve">különleges szaktudással és </w:t>
      </w:r>
      <w:r>
        <w:rPr>
          <w:lang w:eastAsia="fr-BE"/>
        </w:rPr>
        <w:t>speciális szakismerettel segítő egységek</w:t>
      </w:r>
      <w:r w:rsidRPr="00CF3290">
        <w:rPr>
          <w:rFonts w:ascii="Times New Roman" w:hAnsi="Times New Roman"/>
        </w:rPr>
        <w:t xml:space="preserve"> kapacitásainak fejlesztése. </w:t>
      </w:r>
    </w:p>
    <w:p w14:paraId="48FED9A4" w14:textId="77777777" w:rsidR="0032087D" w:rsidRPr="006352B7" w:rsidRDefault="0032087D" w:rsidP="0055574B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</w:p>
    <w:p w14:paraId="73F03D05" w14:textId="77777777" w:rsidR="0032087D" w:rsidRPr="003A0AB5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3A0AB5">
        <w:rPr>
          <w:rFonts w:ascii="Times New Roman" w:hAnsi="Times New Roman"/>
          <w:noProof/>
          <w:sz w:val="24"/>
          <w:szCs w:val="24"/>
          <w:u w:val="single"/>
        </w:rPr>
        <w:t>A célok elérése érdekében a Felelős Hatóság különösen az alábbi tevékenységek megvalósítását támogatja:</w:t>
      </w:r>
    </w:p>
    <w:p w14:paraId="7D0D9BDC" w14:textId="77777777" w:rsidR="004B4646" w:rsidRDefault="004B4646" w:rsidP="004B4646">
      <w:pPr>
        <w:pStyle w:val="Default"/>
        <w:numPr>
          <w:ilvl w:val="0"/>
          <w:numId w:val="53"/>
        </w:numPr>
        <w:jc w:val="both"/>
        <w:rPr>
          <w:color w:val="auto"/>
        </w:rPr>
      </w:pPr>
      <w:r w:rsidRPr="006266CF">
        <w:rPr>
          <w:color w:val="auto"/>
        </w:rPr>
        <w:t>a fejlesztés előkészítéséhez, tervezéséhez és megvalósításához kapcsolódó tevéken</w:t>
      </w:r>
      <w:r w:rsidRPr="006266CF">
        <w:rPr>
          <w:color w:val="auto"/>
        </w:rPr>
        <w:t>y</w:t>
      </w:r>
      <w:r w:rsidRPr="006266CF">
        <w:rPr>
          <w:color w:val="auto"/>
        </w:rPr>
        <w:t>ségek (pl. tanulmánykészítés, szakértői tevékenység, díjköteles adatbázisok használ</w:t>
      </w:r>
      <w:r w:rsidRPr="006266CF">
        <w:rPr>
          <w:color w:val="auto"/>
        </w:rPr>
        <w:t>a</w:t>
      </w:r>
      <w:r w:rsidRPr="006266CF">
        <w:rPr>
          <w:color w:val="auto"/>
        </w:rPr>
        <w:t>ta, kommunikációs tevékenység keretében fordítás, tolmácsolás);</w:t>
      </w:r>
    </w:p>
    <w:p w14:paraId="7A207EB0" w14:textId="77777777" w:rsidR="004B4646" w:rsidRPr="00A05A7F" w:rsidRDefault="004B4646" w:rsidP="004B4646">
      <w:pPr>
        <w:pStyle w:val="Default"/>
        <w:numPr>
          <w:ilvl w:val="0"/>
          <w:numId w:val="53"/>
        </w:numPr>
        <w:jc w:val="both"/>
        <w:rPr>
          <w:color w:val="auto"/>
          <w:lang w:eastAsia="fr-BE"/>
        </w:rPr>
      </w:pPr>
      <w:r w:rsidRPr="00A05A7F">
        <w:rPr>
          <w:color w:val="auto"/>
        </w:rPr>
        <w:t xml:space="preserve">szakértői tapasztalatcseréken (fórumok, munkacsoportülések, konferenciák) történő részvétel és ezek szervezése; </w:t>
      </w:r>
    </w:p>
    <w:p w14:paraId="4BA92F0E" w14:textId="77777777" w:rsidR="004B4646" w:rsidRDefault="004B4646" w:rsidP="004B4646">
      <w:pPr>
        <w:pStyle w:val="Default"/>
        <w:numPr>
          <w:ilvl w:val="0"/>
          <w:numId w:val="53"/>
        </w:numPr>
        <w:jc w:val="both"/>
      </w:pPr>
      <w:r w:rsidRPr="006266CF">
        <w:rPr>
          <w:color w:val="auto"/>
        </w:rPr>
        <w:t>IT technikai eszközök és szoftverek beszerzése/fejlesztése szakértői támogatás igén</w:t>
      </w:r>
      <w:r w:rsidRPr="006266CF">
        <w:rPr>
          <w:color w:val="auto"/>
        </w:rPr>
        <w:t>y</w:t>
      </w:r>
      <w:r w:rsidRPr="006266CF">
        <w:rPr>
          <w:color w:val="auto"/>
        </w:rPr>
        <w:t>bevételével, valamint az eszközök működtetését célzó oktatásokon történő</w:t>
      </w:r>
      <w:r w:rsidRPr="00CF3290">
        <w:t xml:space="preserve"> részvéte</w:t>
      </w:r>
      <w:r w:rsidRPr="00CF3290">
        <w:t>l</w:t>
      </w:r>
      <w:r>
        <w:t>lel;</w:t>
      </w:r>
    </w:p>
    <w:p w14:paraId="56118B79" w14:textId="347F1583" w:rsidR="004B4646" w:rsidRPr="004B4646" w:rsidRDefault="004B4646" w:rsidP="004B4646">
      <w:pPr>
        <w:pStyle w:val="Default"/>
        <w:numPr>
          <w:ilvl w:val="0"/>
          <w:numId w:val="53"/>
        </w:numPr>
        <w:jc w:val="both"/>
        <w:rPr>
          <w:color w:val="auto"/>
        </w:rPr>
      </w:pPr>
      <w:proofErr w:type="gramStart"/>
      <w:r w:rsidRPr="00CF3290">
        <w:t>CBRN(</w:t>
      </w:r>
      <w:proofErr w:type="gramEnd"/>
      <w:r w:rsidRPr="00CF3290">
        <w:t>E) felderítési, művelettámogatási és mentesítési felszerelés beszerzése szaké</w:t>
      </w:r>
      <w:r w:rsidRPr="00CF3290">
        <w:t>r</w:t>
      </w:r>
      <w:r w:rsidRPr="00CF3290">
        <w:t>tői támogat</w:t>
      </w:r>
      <w:r>
        <w:t xml:space="preserve">ás igénybevételével, valamint az eszközök </w:t>
      </w:r>
      <w:r w:rsidRPr="00CF3290">
        <w:t>használatának megismertetését célzó oktatásokon történő részvétel</w:t>
      </w:r>
      <w:r>
        <w:t>lel;</w:t>
      </w:r>
    </w:p>
    <w:p w14:paraId="66397CEF" w14:textId="77777777" w:rsidR="004B4646" w:rsidRDefault="004B4646" w:rsidP="004B4646">
      <w:pPr>
        <w:pStyle w:val="Listaszerbekezds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fr-BE"/>
        </w:rPr>
        <w:t xml:space="preserve">rendelkezésre álló </w:t>
      </w:r>
      <w:r w:rsidRPr="00C71199">
        <w:rPr>
          <w:rFonts w:ascii="Times New Roman" w:hAnsi="Times New Roman"/>
          <w:sz w:val="24"/>
          <w:szCs w:val="24"/>
        </w:rPr>
        <w:t>járművek speciális eszközökkel történő felszerelése, átalakítása.</w:t>
      </w: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F8684C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02F6F659" w:rsidR="00F8684C" w:rsidRPr="00B91284" w:rsidRDefault="00F8684C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Szakértői tapasztalatcserék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7F90E37F" w:rsidR="00F8684C" w:rsidRPr="003003F5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317FFE39" w:rsidR="00F8684C" w:rsidRPr="003003F5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F8684C" w:rsidRPr="003003F5" w14:paraId="6017D85E" w14:textId="77777777" w:rsidTr="00184B8E">
        <w:tc>
          <w:tcPr>
            <w:tcW w:w="5791" w:type="dxa"/>
            <w:shd w:val="clear" w:color="auto" w:fill="auto"/>
          </w:tcPr>
          <w:p w14:paraId="53A8B9BA" w14:textId="7A062E15" w:rsidR="00F8684C" w:rsidRPr="00B91284" w:rsidRDefault="00F8684C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tapasztalatcseréken részt vevő szakemberek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077D7EF0" w:rsidR="00F8684C" w:rsidRPr="003003F5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3FD74D55" w:rsidR="00F8684C" w:rsidRPr="003003F5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75</w:t>
            </w:r>
          </w:p>
        </w:tc>
      </w:tr>
      <w:tr w:rsidR="00F8684C" w:rsidRPr="003003F5" w14:paraId="727B8753" w14:textId="77777777" w:rsidTr="00184B8E">
        <w:tc>
          <w:tcPr>
            <w:tcW w:w="5791" w:type="dxa"/>
            <w:shd w:val="clear" w:color="auto" w:fill="auto"/>
          </w:tcPr>
          <w:p w14:paraId="6EC2E764" w14:textId="08036E52" w:rsidR="00F8684C" w:rsidRPr="00C040E3" w:rsidRDefault="00F8684C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Elkészült tanulmányok/jelentések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633D10D" w14:textId="06ABFA50" w:rsidR="00F8684C" w:rsidRPr="00C040E3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CE7C4F3" w14:textId="0EAE7D39" w:rsidR="00F8684C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F8684C" w:rsidRPr="003003F5" w14:paraId="76309A30" w14:textId="77777777" w:rsidTr="00184B8E">
        <w:tc>
          <w:tcPr>
            <w:tcW w:w="5791" w:type="dxa"/>
            <w:shd w:val="clear" w:color="auto" w:fill="auto"/>
          </w:tcPr>
          <w:p w14:paraId="02F6AC2B" w14:textId="419809DD" w:rsidR="00F8684C" w:rsidRPr="0064460E" w:rsidRDefault="00F8684C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lang w:eastAsia="hu-HU"/>
              </w:rPr>
              <w:t>Fejlesztett/beszerzett IT eszközök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C379868" w14:textId="00BF48D1" w:rsidR="00F8684C" w:rsidRPr="0064460E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BDE9CC3" w14:textId="4559321F" w:rsidR="00F8684C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40</w:t>
            </w:r>
          </w:p>
        </w:tc>
      </w:tr>
      <w:tr w:rsidR="00F8684C" w:rsidRPr="003003F5" w14:paraId="6E03A496" w14:textId="77777777" w:rsidTr="00184B8E">
        <w:tc>
          <w:tcPr>
            <w:tcW w:w="5791" w:type="dxa"/>
            <w:shd w:val="clear" w:color="auto" w:fill="auto"/>
          </w:tcPr>
          <w:p w14:paraId="31711A4F" w14:textId="1CCDEF4D" w:rsidR="00F8684C" w:rsidRPr="0064460E" w:rsidRDefault="00F8684C" w:rsidP="00184B8E">
            <w:pPr>
              <w:suppressAutoHyphens/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Továbbfejlesztett eseménykezelő központok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B0B0790" w14:textId="23622A87" w:rsidR="00F8684C" w:rsidRPr="0064460E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12E085C" w14:textId="08063073" w:rsidR="00F8684C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</w:tr>
      <w:tr w:rsidR="00F8684C" w:rsidRPr="003003F5" w14:paraId="2FDE6644" w14:textId="77777777" w:rsidTr="00C72EAE">
        <w:tc>
          <w:tcPr>
            <w:tcW w:w="5791" w:type="dxa"/>
            <w:shd w:val="clear" w:color="auto" w:fill="auto"/>
            <w:vAlign w:val="bottom"/>
          </w:tcPr>
          <w:p w14:paraId="6F6696E9" w14:textId="0206042A" w:rsidR="00F8684C" w:rsidRPr="0064460E" w:rsidRDefault="00F8684C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Beszerzett technikai eszközök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DB8493A" w14:textId="3BDA8158" w:rsidR="00F8684C" w:rsidRPr="0064460E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1DE1528" w14:textId="48A0EEC1" w:rsidR="00F8684C" w:rsidRPr="0064460E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</w:t>
            </w:r>
          </w:p>
        </w:tc>
      </w:tr>
      <w:tr w:rsidR="00F8684C" w:rsidRPr="003003F5" w14:paraId="36AF22FA" w14:textId="77777777" w:rsidTr="00C72EAE">
        <w:tc>
          <w:tcPr>
            <w:tcW w:w="5791" w:type="dxa"/>
            <w:shd w:val="clear" w:color="auto" w:fill="auto"/>
          </w:tcPr>
          <w:p w14:paraId="050B6210" w14:textId="77DDA5C0" w:rsidR="00F8684C" w:rsidRPr="0064460E" w:rsidRDefault="00F8684C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Védett létfontosságú rendszerek és létesítmények száma</w:t>
            </w:r>
          </w:p>
        </w:tc>
        <w:tc>
          <w:tcPr>
            <w:tcW w:w="1643" w:type="dxa"/>
            <w:shd w:val="clear" w:color="auto" w:fill="auto"/>
          </w:tcPr>
          <w:p w14:paraId="20BDA103" w14:textId="0D2C9F81" w:rsidR="00F8684C" w:rsidRPr="0064460E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fr-BE"/>
              </w:rPr>
              <w:t>db</w:t>
            </w:r>
          </w:p>
        </w:tc>
        <w:tc>
          <w:tcPr>
            <w:tcW w:w="1314" w:type="dxa"/>
            <w:shd w:val="clear" w:color="auto" w:fill="auto"/>
          </w:tcPr>
          <w:p w14:paraId="25D6A61B" w14:textId="03EFC8F2" w:rsidR="00F8684C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fr-BE"/>
              </w:rPr>
              <w:t>300</w:t>
            </w:r>
          </w:p>
        </w:tc>
      </w:tr>
      <w:tr w:rsidR="00F8684C" w:rsidRPr="003003F5" w14:paraId="64E61700" w14:textId="77777777" w:rsidTr="00C72EAE">
        <w:tc>
          <w:tcPr>
            <w:tcW w:w="5791" w:type="dxa"/>
            <w:shd w:val="clear" w:color="auto" w:fill="auto"/>
          </w:tcPr>
          <w:p w14:paraId="3C2E65EB" w14:textId="6A0D549B" w:rsidR="00F8684C" w:rsidRPr="0064460E" w:rsidRDefault="00F8684C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Speciális </w:t>
            </w:r>
            <w:proofErr w:type="gramStart"/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CBRN(</w:t>
            </w:r>
            <w:proofErr w:type="gramEnd"/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E) felszereléssel ellátott szakemberek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B08BB8A" w14:textId="1C73B6F2" w:rsidR="00F8684C" w:rsidRPr="0064460E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BE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90F8ECC" w14:textId="1E3E2653" w:rsidR="00F8684C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BE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F8684C" w:rsidRPr="003003F5" w14:paraId="7778733A" w14:textId="77777777" w:rsidTr="00C72EAE">
        <w:tc>
          <w:tcPr>
            <w:tcW w:w="5791" w:type="dxa"/>
            <w:shd w:val="clear" w:color="auto" w:fill="auto"/>
          </w:tcPr>
          <w:p w14:paraId="641D22BB" w14:textId="62E9769F" w:rsidR="00F8684C" w:rsidRPr="0064460E" w:rsidRDefault="00F8684C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Technikai eszközök helyszíni rendelkezésre állásának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CCA4370" w14:textId="3178AA06" w:rsidR="00F8684C" w:rsidRPr="0064460E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68A01EC" w14:textId="7D1F701C" w:rsidR="00F8684C" w:rsidRPr="0064460E" w:rsidRDefault="00F8684C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100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81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lastRenderedPageBreak/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</w:t>
      </w:r>
      <w:r w:rsidRPr="00F335B7">
        <w:rPr>
          <w:rFonts w:ascii="Times New Roman" w:hAnsi="Times New Roman"/>
          <w:sz w:val="24"/>
          <w:szCs w:val="24"/>
        </w:rPr>
        <w:lastRenderedPageBreak/>
        <w:t xml:space="preserve">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81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82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22C31B07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 xml:space="preserve">Belügyminisztérium </w:t>
      </w:r>
    </w:p>
    <w:p w14:paraId="31F0A63F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Külgazdasági és Külügyminisztérium;</w:t>
      </w:r>
    </w:p>
    <w:p w14:paraId="78269C65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lastRenderedPageBreak/>
        <w:t>Igazságügyi Minisztérium;</w:t>
      </w:r>
    </w:p>
    <w:p w14:paraId="7C4AC2E7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Alkotmányvédelmi Hivatal;</w:t>
      </w:r>
    </w:p>
    <w:p w14:paraId="5B240DA1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Bevándorlási és Menekültügyi Hivatal;</w:t>
      </w:r>
    </w:p>
    <w:p w14:paraId="112BC11E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ügyészség;</w:t>
      </w:r>
    </w:p>
    <w:p w14:paraId="569C5764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Nemzetbiztonsági Szakszolgálat;</w:t>
      </w:r>
    </w:p>
    <w:p w14:paraId="46D179B5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Nemzeti Adó- és Vámhivatal;</w:t>
      </w:r>
    </w:p>
    <w:p w14:paraId="6D37018C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Nemzeti Közszolgálati Egyetem;</w:t>
      </w:r>
    </w:p>
    <w:p w14:paraId="72434E2B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Nemzeti Védelmi Szolgálat;</w:t>
      </w:r>
    </w:p>
    <w:p w14:paraId="1B1AC0A2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általános rendőrségi feladatok ellátására létrehozott szerv (a továbbiakban: Rendőrség);</w:t>
      </w:r>
    </w:p>
    <w:p w14:paraId="6C5CC7D0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hivatásos katasztrófavédelmi szervek;</w:t>
      </w:r>
    </w:p>
    <w:p w14:paraId="3E6A62E9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Terrorelhárítási Információs és Bűnügyi Elemző Központ;</w:t>
      </w:r>
    </w:p>
    <w:p w14:paraId="1261514D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Terrorelhárítási Központ;</w:t>
      </w:r>
    </w:p>
    <w:p w14:paraId="3A78A37B" w14:textId="77777777" w:rsidR="004B4646" w:rsidRPr="004B4646" w:rsidRDefault="004B4646" w:rsidP="00F8684C">
      <w:pPr>
        <w:numPr>
          <w:ilvl w:val="0"/>
          <w:numId w:val="6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4646">
        <w:rPr>
          <w:rFonts w:ascii="Times New Roman" w:hAnsi="Times New Roman"/>
          <w:sz w:val="24"/>
          <w:szCs w:val="24"/>
        </w:rPr>
        <w:t>Magyar Honvédség.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</w:t>
      </w:r>
      <w:r w:rsidRPr="00836CB3">
        <w:rPr>
          <w:rFonts w:ascii="Times New Roman" w:hAnsi="Times New Roman"/>
          <w:sz w:val="24"/>
          <w:szCs w:val="24"/>
        </w:rPr>
        <w:lastRenderedPageBreak/>
        <w:t xml:space="preserve">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</w:t>
      </w:r>
      <w:r>
        <w:rPr>
          <w:rFonts w:ascii="Times New Roman" w:hAnsi="Times New Roman"/>
          <w:sz w:val="24"/>
          <w:szCs w:val="24"/>
          <w:lang w:eastAsia="hu-HU"/>
        </w:rPr>
        <w:lastRenderedPageBreak/>
        <w:t>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8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9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10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82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82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82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82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82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82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3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589F4BFA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813E9C" w:rsidRPr="00813E9C">
        <w:rPr>
          <w:rFonts w:ascii="Times New Roman" w:hAnsi="Times New Roman"/>
          <w:b/>
          <w:sz w:val="24"/>
          <w:szCs w:val="24"/>
        </w:rPr>
        <w:t xml:space="preserve">útmutató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068389D2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813E9C">
        <w:rPr>
          <w:rFonts w:ascii="Times New Roman" w:hAnsi="Times New Roman"/>
          <w:sz w:val="24"/>
          <w:szCs w:val="24"/>
        </w:rPr>
        <w:t>útmutató</w:t>
      </w:r>
      <w:r w:rsidR="00813E9C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61F1FA7D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813E9C">
        <w:rPr>
          <w:rFonts w:ascii="Times New Roman" w:hAnsi="Times New Roman"/>
          <w:sz w:val="24"/>
          <w:szCs w:val="24"/>
        </w:rPr>
        <w:t>útmutató</w:t>
      </w:r>
      <w:r w:rsidR="00813E9C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419C8101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813E9C">
        <w:rPr>
          <w:rFonts w:ascii="Times New Roman" w:hAnsi="Times New Roman"/>
          <w:sz w:val="24"/>
          <w:szCs w:val="24"/>
        </w:rPr>
        <w:t>útmutató</w:t>
      </w:r>
      <w:r w:rsidR="00813E9C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82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46B4CF4C" w14:textId="218163B6" w:rsidR="008A27F8" w:rsidRPr="000F779B" w:rsidRDefault="008A27F8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82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82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67D81141" w:rsidR="0032087D" w:rsidRPr="00D9380C" w:rsidRDefault="002927D1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83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83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4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83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83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83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83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83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83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83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83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84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84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84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84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84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84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84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862975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62975">
        <w:rPr>
          <w:rFonts w:ascii="Times New Roman" w:hAnsi="Times New Roman"/>
          <w:b w:val="0"/>
          <w:color w:val="auto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862975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5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5A64E807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813E9C">
        <w:rPr>
          <w:rFonts w:ascii="Times New Roman" w:hAnsi="Times New Roman"/>
          <w:sz w:val="24"/>
          <w:szCs w:val="24"/>
        </w:rPr>
        <w:t>útmutató</w:t>
      </w:r>
      <w:r w:rsidR="00813E9C">
        <w:rPr>
          <w:rFonts w:ascii="Times New Roman" w:hAnsi="Times New Roman"/>
          <w:sz w:val="24"/>
          <w:szCs w:val="24"/>
        </w:rPr>
        <w:t xml:space="preserve">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813E9C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84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84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84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85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85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85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85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85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85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85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85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8001"/>
      </w:tblGrid>
      <w:tr w:rsidR="006352B7" w:rsidRPr="00905E2F" w14:paraId="777753D9" w14:textId="77777777" w:rsidTr="00C16CE9">
        <w:tc>
          <w:tcPr>
            <w:tcW w:w="3510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C72EAE" w:rsidRPr="00905E2F" w14:paraId="7489BAAA" w14:textId="77777777" w:rsidTr="00C72EAE">
        <w:tc>
          <w:tcPr>
            <w:tcW w:w="3510" w:type="dxa"/>
          </w:tcPr>
          <w:p w14:paraId="5F39C998" w14:textId="147A1B66" w:rsidR="00C72EAE" w:rsidRPr="00A4376F" w:rsidRDefault="00C72EAE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Szakértői tapasztalatcserék száma </w:t>
            </w:r>
          </w:p>
        </w:tc>
        <w:tc>
          <w:tcPr>
            <w:tcW w:w="2631" w:type="dxa"/>
            <w:vAlign w:val="center"/>
          </w:tcPr>
          <w:p w14:paraId="46F7A6BB" w14:textId="7B7EE6B2" w:rsidR="00C72EAE" w:rsidRPr="00A4376F" w:rsidRDefault="00C72EAE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25C43DF6" w14:textId="0C6F3712" w:rsidR="00C72EAE" w:rsidRPr="00C72EAE" w:rsidRDefault="00C37DA9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>A projekt keretében megvalósult tapasztalatcserét, illetve az egyes tevékenységi elemek megvalósulásának hatékonyságát célzó programok (pl. konferencia, f</w:t>
            </w:r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>ó</w:t>
            </w:r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rum, </w:t>
            </w:r>
            <w:proofErr w:type="spellStart"/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>workshop</w:t>
            </w:r>
            <w:proofErr w:type="spellEnd"/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>, stb.)</w:t>
            </w:r>
          </w:p>
        </w:tc>
      </w:tr>
      <w:tr w:rsidR="00C72EAE" w:rsidRPr="00905E2F" w14:paraId="4CBA9AFE" w14:textId="77777777" w:rsidTr="00C72EAE">
        <w:tc>
          <w:tcPr>
            <w:tcW w:w="3510" w:type="dxa"/>
          </w:tcPr>
          <w:p w14:paraId="62CB03B7" w14:textId="19E4072D" w:rsidR="00C72EAE" w:rsidRPr="00C72EA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Szakértői tapasztalatcseréken részt vevő szakemberek száma</w:t>
            </w:r>
          </w:p>
        </w:tc>
        <w:tc>
          <w:tcPr>
            <w:tcW w:w="2631" w:type="dxa"/>
            <w:vAlign w:val="center"/>
          </w:tcPr>
          <w:p w14:paraId="215A7C58" w14:textId="3E72AB92" w:rsidR="00C72EAE" w:rsidRPr="00A4376F" w:rsidRDefault="00C72EAE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0E3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8001" w:type="dxa"/>
            <w:vAlign w:val="center"/>
          </w:tcPr>
          <w:p w14:paraId="2760EEEC" w14:textId="122CD348" w:rsidR="00C72EAE" w:rsidRPr="00C72EAE" w:rsidRDefault="00C37DA9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>Azon szakemberek száma, akik a projekt keretében megvalósuló tapasztalatcs</w:t>
            </w:r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rét célzó programokon (pl. konferencia, tanulmányút, kétoldalú találkozó, </w:t>
            </w:r>
            <w:proofErr w:type="spellStart"/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>workshop</w:t>
            </w:r>
            <w:proofErr w:type="spellEnd"/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>hospitáció</w:t>
            </w:r>
            <w:proofErr w:type="spellEnd"/>
            <w:r w:rsidRPr="00C37DA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stb.) részt vettek.</w:t>
            </w:r>
          </w:p>
        </w:tc>
      </w:tr>
      <w:tr w:rsidR="00C72EAE" w:rsidRPr="00905E2F" w14:paraId="38A18533" w14:textId="77777777" w:rsidTr="00C72EAE">
        <w:tc>
          <w:tcPr>
            <w:tcW w:w="3510" w:type="dxa"/>
          </w:tcPr>
          <w:p w14:paraId="2DD8D226" w14:textId="60C1202A" w:rsidR="00C72EAE" w:rsidRPr="00C72EA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Elkészült tanulmányok/jelentések száma </w:t>
            </w:r>
          </w:p>
        </w:tc>
        <w:tc>
          <w:tcPr>
            <w:tcW w:w="2631" w:type="dxa"/>
            <w:vAlign w:val="center"/>
          </w:tcPr>
          <w:p w14:paraId="7202C768" w14:textId="34EA8013" w:rsidR="00C72EAE" w:rsidRPr="00A4376F" w:rsidRDefault="00C72EAE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6FA8C52F" w14:textId="301495ED" w:rsidR="00C72EAE" w:rsidRPr="00C72EAE" w:rsidRDefault="00A23C26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projekt keretében </w:t>
            </w:r>
            <w:proofErr w:type="gramStart"/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>végrehajtott  tevékenységek</w:t>
            </w:r>
            <w:proofErr w:type="gramEnd"/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eredményeként létrejött tanu</w:t>
            </w:r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>mányok, jelentések száma.</w:t>
            </w:r>
          </w:p>
        </w:tc>
      </w:tr>
      <w:tr w:rsidR="00C72EAE" w:rsidRPr="00905E2F" w14:paraId="0D788CE1" w14:textId="77777777" w:rsidTr="00C72EAE">
        <w:tc>
          <w:tcPr>
            <w:tcW w:w="3510" w:type="dxa"/>
          </w:tcPr>
          <w:p w14:paraId="3AAB7F36" w14:textId="64C15081" w:rsidR="00C72EAE" w:rsidRPr="0064460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Fejlesztett/beszerzett IT eszközök száma</w:t>
            </w:r>
          </w:p>
        </w:tc>
        <w:tc>
          <w:tcPr>
            <w:tcW w:w="2631" w:type="dxa"/>
            <w:vAlign w:val="center"/>
          </w:tcPr>
          <w:p w14:paraId="603C10EF" w14:textId="673A4A9D" w:rsidR="00C72EAE" w:rsidRPr="0064460E" w:rsidRDefault="00C72EAE" w:rsidP="00184B8E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7B628440" w14:textId="7E8E8629" w:rsidR="00C72EAE" w:rsidRPr="00AD3F99" w:rsidRDefault="00C72EAE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A projekt keretében beszerzett, fejlesztett azon súlyos és szervezett, határon á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nyúló bűncselekményekhez kapcsolódó felderítést, nyomozást segítő szoftver, hardver eszközök száma, amelyek egyedi bekerülési értéke terv szerinti érté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csökkenés alapján egy összegben nem számolható el a vonatkozó jogszabályok szerint és értékük meghaladja a </w:t>
            </w:r>
            <w:r w:rsidR="00AD3F9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nettó 200.000 Ft-os értékhatárt, </w:t>
            </w:r>
            <w:r w:rsidR="00AD3F99">
              <w:rPr>
                <w:rFonts w:ascii="Times New Roman" w:hAnsi="Times New Roman"/>
                <w:color w:val="000000"/>
                <w:sz w:val="24"/>
                <w:szCs w:val="24"/>
              </w:rPr>
              <w:t>beleértve az adat-, információáramlás javítása, valamint a biztonságos adat- és informáci</w:t>
            </w:r>
            <w:r w:rsidR="00AD3F99">
              <w:rPr>
                <w:rFonts w:ascii="Times New Roman" w:hAnsi="Times New Roman"/>
                <w:color w:val="000000"/>
                <w:sz w:val="24"/>
                <w:szCs w:val="24"/>
              </w:rPr>
              <w:t>ó</w:t>
            </w:r>
            <w:r w:rsidR="00AD3F99">
              <w:rPr>
                <w:rFonts w:ascii="Times New Roman" w:hAnsi="Times New Roman"/>
                <w:color w:val="000000"/>
                <w:sz w:val="24"/>
                <w:szCs w:val="24"/>
              </w:rPr>
              <w:t>csere érdekében fejlesztett, beszerzett újszerű, felhasználó-központú megoldást is.</w:t>
            </w:r>
          </w:p>
        </w:tc>
      </w:tr>
      <w:tr w:rsidR="00C72EAE" w:rsidRPr="00905E2F" w14:paraId="17CD44F3" w14:textId="77777777" w:rsidTr="00C72EAE">
        <w:tc>
          <w:tcPr>
            <w:tcW w:w="3510" w:type="dxa"/>
          </w:tcPr>
          <w:p w14:paraId="0481AF53" w14:textId="38DACD7C" w:rsidR="00C72EAE" w:rsidRPr="00C72EA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Továbbfejlesztett eseménykezelő központok száma </w:t>
            </w:r>
          </w:p>
        </w:tc>
        <w:tc>
          <w:tcPr>
            <w:tcW w:w="2631" w:type="dxa"/>
            <w:vAlign w:val="center"/>
          </w:tcPr>
          <w:p w14:paraId="7E2FBFC4" w14:textId="3D09D228" w:rsidR="00C72EAE" w:rsidRPr="0064460E" w:rsidRDefault="00C72EAE" w:rsidP="00184B8E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08DCC063" w14:textId="3E6C389A" w:rsidR="00C72EAE" w:rsidRPr="00C72EA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kritikus infrastruktúrák </w:t>
            </w:r>
            <w:proofErr w:type="spellStart"/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kibertámadások</w:t>
            </w:r>
            <w:proofErr w:type="spellEnd"/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elleni védelmét szolgáló </w:t>
            </w:r>
            <w:proofErr w:type="spellStart"/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válságmegelőzési</w:t>
            </w:r>
            <w:proofErr w:type="spellEnd"/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és válságkezelési feladatokat ellátó a projekt keretében t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vábbfejlesztett eseménykezelő központok száma.</w:t>
            </w:r>
          </w:p>
        </w:tc>
      </w:tr>
      <w:tr w:rsidR="00C72EAE" w:rsidRPr="00905E2F" w14:paraId="2F0D5C54" w14:textId="77777777" w:rsidTr="00C72EAE">
        <w:tc>
          <w:tcPr>
            <w:tcW w:w="3510" w:type="dxa"/>
            <w:vAlign w:val="bottom"/>
          </w:tcPr>
          <w:p w14:paraId="2562FB04" w14:textId="2E9BD0D1" w:rsidR="00C72EAE" w:rsidRPr="0064460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Beszerzett technikai eszközök száma</w:t>
            </w:r>
          </w:p>
        </w:tc>
        <w:tc>
          <w:tcPr>
            <w:tcW w:w="2631" w:type="dxa"/>
            <w:vAlign w:val="center"/>
          </w:tcPr>
          <w:p w14:paraId="61448B4A" w14:textId="2AA6B4A6" w:rsidR="00C72EAE" w:rsidRPr="0064460E" w:rsidRDefault="00C72EAE" w:rsidP="00184B8E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1DA070A0" w14:textId="08A25135" w:rsidR="00C72EAE" w:rsidRPr="00C72EA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Súlyos és szervezett, határon átnyúló bűncselekményekhez kapcsolódóan a pr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o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jekt keretében beszerzett speciális felderítési, nyomozati, műveleti, operatív technikai eszközök, valamint (mobil) laboratóriumi felszerelések és bűnügyi technikai eszközök száma; továbbá a polgárok és a kritikus infrastruktúrák v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é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delmi képességének javítása és/vagy az iparbiztonsággal kapcsolatosan jelentk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ző feladatok hatékonyabb ellátása céljából a projekt keretében beszerzett speci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á</w:t>
            </w:r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>lis védőruhák, légzésvédelmi továbbá felderítési, műveleti, mentesítési eszközök száma, amelyek egyedi bekerülési értéke terv szerinti</w:t>
            </w:r>
            <w:proofErr w:type="gramEnd"/>
            <w:r w:rsidRPr="00C72E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értékcsökkenés alapján egy összegben nem számolható el a vonatkozó jogszabályok szerint és értékük meghaladja a nettó 200.000 Ft-os értékhatárt.</w:t>
            </w:r>
          </w:p>
        </w:tc>
      </w:tr>
      <w:tr w:rsidR="00C72EAE" w:rsidRPr="00905E2F" w14:paraId="38BDE4CA" w14:textId="77777777" w:rsidTr="00C72EAE">
        <w:tc>
          <w:tcPr>
            <w:tcW w:w="3510" w:type="dxa"/>
          </w:tcPr>
          <w:p w14:paraId="4CCF89A9" w14:textId="67FEF3E5" w:rsidR="00C72EAE" w:rsidRPr="0064460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Védett létfontosságú rendszerek és létesítmények száma</w:t>
            </w:r>
          </w:p>
        </w:tc>
        <w:tc>
          <w:tcPr>
            <w:tcW w:w="2631" w:type="dxa"/>
          </w:tcPr>
          <w:p w14:paraId="50E0E558" w14:textId="3ADF8237" w:rsidR="00C72EAE" w:rsidRPr="0064460E" w:rsidRDefault="00C72EAE" w:rsidP="00184B8E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fr-BE"/>
              </w:rPr>
              <w:t>db</w:t>
            </w:r>
          </w:p>
        </w:tc>
        <w:tc>
          <w:tcPr>
            <w:tcW w:w="8001" w:type="dxa"/>
            <w:vAlign w:val="center"/>
          </w:tcPr>
          <w:p w14:paraId="5ECB4FB6" w14:textId="7CA6F849" w:rsidR="00C72EAE" w:rsidRPr="00C72EAE" w:rsidRDefault="00593EEF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projekt keretében kialakított/továbbfejlesztett eseménykezelő központok által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kibertámadásokkal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szembeni magasabb szintű védelemmel ellátott szervezetek száma</w:t>
            </w:r>
          </w:p>
        </w:tc>
      </w:tr>
      <w:tr w:rsidR="00C72EAE" w:rsidRPr="00905E2F" w14:paraId="43AEE774" w14:textId="77777777" w:rsidTr="00C72EAE">
        <w:tc>
          <w:tcPr>
            <w:tcW w:w="3510" w:type="dxa"/>
          </w:tcPr>
          <w:p w14:paraId="345756EF" w14:textId="27F21FCA" w:rsidR="00C72EAE" w:rsidRPr="0064460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Speciális </w:t>
            </w:r>
            <w:proofErr w:type="gramStart"/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CBRN(</w:t>
            </w:r>
            <w:proofErr w:type="gramEnd"/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E) felszereléssel ellátott szakemberek száma </w:t>
            </w:r>
          </w:p>
        </w:tc>
        <w:tc>
          <w:tcPr>
            <w:tcW w:w="2631" w:type="dxa"/>
            <w:vAlign w:val="center"/>
          </w:tcPr>
          <w:p w14:paraId="15AEDA34" w14:textId="0EBA4946" w:rsidR="00C72EAE" w:rsidRPr="0064460E" w:rsidRDefault="00C72EAE" w:rsidP="00184B8E">
            <w:pPr>
              <w:jc w:val="center"/>
              <w:rPr>
                <w:rFonts w:ascii="Times New Roman" w:hAnsi="Times New Roman"/>
                <w:sz w:val="24"/>
                <w:szCs w:val="24"/>
                <w:lang w:eastAsia="fr-BE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8001" w:type="dxa"/>
            <w:vAlign w:val="center"/>
          </w:tcPr>
          <w:p w14:paraId="6FF5CC63" w14:textId="7B328E90" w:rsidR="00C72EAE" w:rsidRPr="00C72EAE" w:rsidRDefault="00A23C26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>Azon szakemberek száma, akiket a polgárok és a kritikus infrastruktúrák véde</w:t>
            </w:r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>l</w:t>
            </w:r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mi képességének javítása és/vagy az iparbiztonsággal kapcsolatosan jelentkező feladatok hatékonyabb ellátása céljából a projekt keretében beszerzett speciális </w:t>
            </w:r>
            <w:proofErr w:type="gramStart"/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>CBRN(</w:t>
            </w:r>
            <w:proofErr w:type="gramEnd"/>
            <w:r w:rsidRPr="00A23C26">
              <w:rPr>
                <w:rFonts w:ascii="Times New Roman" w:hAnsi="Times New Roman"/>
                <w:sz w:val="24"/>
                <w:szCs w:val="24"/>
                <w:lang w:eastAsia="hu-HU"/>
              </w:rPr>
              <w:t>E) felszerelésekkel láttak el.</w:t>
            </w:r>
          </w:p>
        </w:tc>
      </w:tr>
      <w:tr w:rsidR="00C72EAE" w:rsidRPr="00905E2F" w14:paraId="30F233F8" w14:textId="77777777" w:rsidTr="00C72EAE">
        <w:tc>
          <w:tcPr>
            <w:tcW w:w="3510" w:type="dxa"/>
          </w:tcPr>
          <w:p w14:paraId="406B486F" w14:textId="56C06ED5" w:rsidR="00C72EAE" w:rsidRPr="0064460E" w:rsidRDefault="00C72EAE" w:rsidP="00184B8E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Technikai eszközök helyszíni rendelkezésre állásának száma</w:t>
            </w:r>
          </w:p>
        </w:tc>
        <w:tc>
          <w:tcPr>
            <w:tcW w:w="2631" w:type="dxa"/>
            <w:vAlign w:val="center"/>
          </w:tcPr>
          <w:p w14:paraId="6EC697CC" w14:textId="2F68D4FF" w:rsidR="00C72EAE" w:rsidRPr="0064460E" w:rsidRDefault="00C72EAE" w:rsidP="00184B8E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4460E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001" w:type="dxa"/>
            <w:vAlign w:val="center"/>
          </w:tcPr>
          <w:p w14:paraId="53BA6644" w14:textId="4C29717D" w:rsidR="00C72EAE" w:rsidRPr="00C72EAE" w:rsidRDefault="00593EEF" w:rsidP="00593EE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polgárok és a kritikus infrastruktúrák védelme érdekében a projekt keretében beszerzett speciális védőeszközök továbbá felderítési, műveleti,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mentesítési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közök, amelyeket a beszerzését követő 3 évben gyakorlati alkalmazás, felhas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nálás, céljából műveleti helyszínre szállítanak.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85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BB64A2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BB64A2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BB64A2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19A5D5ED" w:rsidR="0032087D" w:rsidRPr="00BB64A2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4A2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BB64A2">
        <w:rPr>
          <w:rFonts w:ascii="Times New Roman" w:hAnsi="Times New Roman"/>
          <w:sz w:val="24"/>
          <w:szCs w:val="24"/>
        </w:rPr>
        <w:t>a</w:t>
      </w:r>
      <w:r w:rsidRPr="00BB64A2">
        <w:rPr>
          <w:rFonts w:ascii="Times New Roman" w:hAnsi="Times New Roman"/>
          <w:sz w:val="24"/>
          <w:szCs w:val="24"/>
        </w:rPr>
        <w:t>ramétereinek bemutatása</w:t>
      </w:r>
      <w:r w:rsidR="00C35FF0" w:rsidRPr="00BB64A2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75271121" w14:textId="2F979C56" w:rsidR="0032087D" w:rsidRPr="00C35FF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CD0B36C" w14:textId="77777777" w:rsidR="00C35FF0" w:rsidRPr="00DA582E" w:rsidRDefault="00C35FF0" w:rsidP="00C35FF0">
      <w:pPr>
        <w:pStyle w:val="Listaszerbekezds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0B0AD5" w:rsidRDefault="000B0AD5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0B0AD5" w:rsidRDefault="000B0AD5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0B0AD5" w:rsidRDefault="000B0AD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0B0AD5" w:rsidRPr="00AA01FE" w:rsidRDefault="000B0AD5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813E9C">
      <w:rPr>
        <w:rFonts w:ascii="Times New Roman" w:hAnsi="Times New Roman"/>
        <w:b/>
        <w:bCs/>
        <w:noProof/>
      </w:rPr>
      <w:t>47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813E9C">
      <w:rPr>
        <w:rFonts w:ascii="Times New Roman" w:hAnsi="Times New Roman"/>
        <w:b/>
        <w:bCs/>
        <w:noProof/>
      </w:rPr>
      <w:t>83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0B0AD5" w:rsidRDefault="000B0AD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0B0AD5" w:rsidRDefault="000B0AD5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0B0AD5" w:rsidRDefault="000B0AD5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0B0AD5" w:rsidRPr="009A2523" w:rsidRDefault="000B0AD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13E9C">
      <w:rPr>
        <w:rStyle w:val="Oldalszm"/>
        <w:noProof/>
      </w:rPr>
      <w:t>53</w:t>
    </w:r>
    <w:r>
      <w:rPr>
        <w:rStyle w:val="Oldalszm"/>
      </w:rPr>
      <w:fldChar w:fldCharType="end"/>
    </w:r>
  </w:p>
  <w:p w14:paraId="39E8D495" w14:textId="77777777" w:rsidR="000B0AD5" w:rsidRDefault="000B0AD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0B0AD5" w:rsidRPr="009A2523" w:rsidRDefault="000B0AD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0B0AD5" w:rsidRPr="00A60846" w:rsidRDefault="000B0AD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0B0AD5" w:rsidRPr="00C06243" w:rsidRDefault="000B0AD5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0B0AD5" w:rsidRDefault="000B0AD5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0B0AD5" w:rsidRPr="009A2523" w:rsidRDefault="000B0AD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13E9C">
      <w:rPr>
        <w:rStyle w:val="Oldalszm"/>
        <w:noProof/>
      </w:rPr>
      <w:t>83</w:t>
    </w:r>
    <w:r>
      <w:rPr>
        <w:rStyle w:val="Oldalszm"/>
      </w:rPr>
      <w:fldChar w:fldCharType="end"/>
    </w:r>
  </w:p>
  <w:p w14:paraId="20F1BA34" w14:textId="77777777" w:rsidR="000B0AD5" w:rsidRDefault="000B0AD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0B0AD5" w:rsidRPr="009A2523" w:rsidRDefault="000B0AD5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0B0AD5" w:rsidRPr="00A60846" w:rsidRDefault="000B0AD5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0B0AD5" w:rsidRPr="00C06243" w:rsidRDefault="000B0AD5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0B0AD5" w:rsidRDefault="000B0AD5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0B0AD5" w:rsidRDefault="000B0AD5" w:rsidP="0011392F">
      <w:pPr>
        <w:spacing w:after="0" w:line="240" w:lineRule="auto"/>
      </w:pPr>
      <w:r>
        <w:continuationSeparator/>
      </w:r>
    </w:p>
  </w:footnote>
  <w:footnote w:id="1">
    <w:p w14:paraId="5BD9B62C" w14:textId="77777777" w:rsidR="000B0AD5" w:rsidRPr="003137A0" w:rsidRDefault="000B0AD5" w:rsidP="000B0AD5">
      <w:pPr>
        <w:pStyle w:val="Lbjegyzetszveg"/>
        <w:jc w:val="both"/>
        <w:rPr>
          <w:rFonts w:ascii="Times New Roman" w:hAnsi="Times New Roman"/>
        </w:rPr>
      </w:pPr>
      <w:r w:rsidRPr="003137A0">
        <w:rPr>
          <w:rStyle w:val="Lbjegyzet-hivatkozs"/>
          <w:rFonts w:ascii="Times New Roman" w:hAnsi="Times New Roman"/>
        </w:rPr>
        <w:footnoteRef/>
      </w:r>
      <w:r w:rsidRPr="003137A0">
        <w:rPr>
          <w:rFonts w:ascii="Times New Roman" w:hAnsi="Times New Roman"/>
        </w:rPr>
        <w:t xml:space="preserve"> </w:t>
      </w:r>
      <w:proofErr w:type="spellStart"/>
      <w:r w:rsidRPr="00D40BB9">
        <w:rPr>
          <w:rFonts w:ascii="Times New Roman" w:hAnsi="Times New Roman"/>
          <w:bCs/>
        </w:rPr>
        <w:t>Chemical</w:t>
      </w:r>
      <w:proofErr w:type="spellEnd"/>
      <w:r w:rsidRPr="00D40BB9">
        <w:rPr>
          <w:rFonts w:ascii="Times New Roman" w:hAnsi="Times New Roman"/>
          <w:bCs/>
        </w:rPr>
        <w:t xml:space="preserve">, </w:t>
      </w:r>
      <w:proofErr w:type="spellStart"/>
      <w:r w:rsidRPr="00D40BB9">
        <w:rPr>
          <w:rFonts w:ascii="Times New Roman" w:hAnsi="Times New Roman"/>
          <w:bCs/>
        </w:rPr>
        <w:t>Biological</w:t>
      </w:r>
      <w:proofErr w:type="spellEnd"/>
      <w:r w:rsidRPr="00D40BB9">
        <w:rPr>
          <w:rFonts w:ascii="Times New Roman" w:hAnsi="Times New Roman"/>
          <w:bCs/>
        </w:rPr>
        <w:t xml:space="preserve">, </w:t>
      </w:r>
      <w:proofErr w:type="spellStart"/>
      <w:r w:rsidRPr="00D40BB9">
        <w:rPr>
          <w:rFonts w:ascii="Times New Roman" w:hAnsi="Times New Roman"/>
          <w:bCs/>
        </w:rPr>
        <w:t>Radio</w:t>
      </w:r>
      <w:r>
        <w:rPr>
          <w:rFonts w:ascii="Times New Roman" w:hAnsi="Times New Roman"/>
          <w:bCs/>
        </w:rPr>
        <w:t>logical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Nuclear</w:t>
      </w:r>
      <w:proofErr w:type="spellEnd"/>
      <w:r>
        <w:rPr>
          <w:rFonts w:ascii="Times New Roman" w:hAnsi="Times New Roman"/>
          <w:bCs/>
        </w:rPr>
        <w:t xml:space="preserve"> and </w:t>
      </w:r>
      <w:proofErr w:type="spellStart"/>
      <w:r>
        <w:rPr>
          <w:rFonts w:ascii="Times New Roman" w:hAnsi="Times New Roman"/>
          <w:bCs/>
        </w:rPr>
        <w:t>Explosive</w:t>
      </w:r>
      <w:proofErr w:type="spellEnd"/>
      <w:r>
        <w:rPr>
          <w:rFonts w:ascii="Times New Roman" w:hAnsi="Times New Roman"/>
          <w:bCs/>
        </w:rPr>
        <w:t xml:space="preserve"> </w:t>
      </w:r>
      <w:r w:rsidRPr="003137A0">
        <w:rPr>
          <w:rFonts w:ascii="Times New Roman" w:hAnsi="Times New Roman"/>
        </w:rPr>
        <w:t>= Vegyi, Biológiai, Sugárzó, Nukleáris és Robb</w:t>
      </w:r>
      <w:r w:rsidRPr="003137A0">
        <w:rPr>
          <w:rFonts w:ascii="Times New Roman" w:hAnsi="Times New Roman"/>
        </w:rPr>
        <w:t>a</w:t>
      </w:r>
      <w:r w:rsidRPr="003137A0">
        <w:rPr>
          <w:rFonts w:ascii="Times New Roman" w:hAnsi="Times New Roman"/>
        </w:rPr>
        <w:t xml:space="preserve">nóanyag </w:t>
      </w:r>
    </w:p>
  </w:footnote>
  <w:footnote w:id="2">
    <w:p w14:paraId="7FDA9E1A" w14:textId="77777777" w:rsidR="000B0AD5" w:rsidRPr="00653CFA" w:rsidRDefault="000B0AD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0B0AD5" w:rsidRPr="00653CFA" w:rsidRDefault="000B0AD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0B0AD5" w:rsidRPr="00653CFA" w:rsidRDefault="000B0AD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0B0AD5" w:rsidRPr="00653CFA" w:rsidRDefault="000B0AD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0B0AD5" w:rsidRPr="00653CFA" w:rsidRDefault="000B0AD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0B0AD5" w:rsidRPr="00653CFA" w:rsidRDefault="000B0AD5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0B0AD5" w:rsidRPr="00653CFA" w:rsidRDefault="000B0AD5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3">
    <w:p w14:paraId="577E433C" w14:textId="77777777" w:rsidR="000B0AD5" w:rsidRPr="00653CFA" w:rsidRDefault="000B0AD5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4">
    <w:p w14:paraId="21E63F92" w14:textId="77777777" w:rsidR="000B0AD5" w:rsidRPr="00601539" w:rsidRDefault="000B0AD5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5">
    <w:p w14:paraId="192197A9" w14:textId="77777777" w:rsidR="000B0AD5" w:rsidRDefault="000B0AD5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6">
    <w:p w14:paraId="38C3FD25" w14:textId="4600C9DD" w:rsidR="000B0AD5" w:rsidRPr="00601539" w:rsidRDefault="000B0AD5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7">
    <w:p w14:paraId="51D34A9C" w14:textId="77777777" w:rsidR="000B0AD5" w:rsidRPr="00D960FD" w:rsidRDefault="000B0AD5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8">
    <w:p w14:paraId="31E2182B" w14:textId="77777777" w:rsidR="000B0AD5" w:rsidRPr="00BB142E" w:rsidRDefault="000B0AD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9">
    <w:p w14:paraId="49C5E6C3" w14:textId="77777777" w:rsidR="000B0AD5" w:rsidRPr="00BB142E" w:rsidRDefault="000B0AD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10">
    <w:p w14:paraId="4832A912" w14:textId="77777777" w:rsidR="000B0AD5" w:rsidRPr="00D960FD" w:rsidRDefault="000B0AD5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1">
    <w:p w14:paraId="5A8CF666" w14:textId="77777777" w:rsidR="000B0AD5" w:rsidRPr="00BB142E" w:rsidRDefault="000B0AD5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2">
    <w:p w14:paraId="6CD57F3E" w14:textId="77777777" w:rsidR="000B0AD5" w:rsidRPr="00BB142E" w:rsidRDefault="000B0AD5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3">
    <w:p w14:paraId="557F65B5" w14:textId="67B74590" w:rsidR="000B0AD5" w:rsidRPr="0061151C" w:rsidRDefault="000B0AD5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4">
    <w:p w14:paraId="136DB815" w14:textId="77777777" w:rsidR="000B0AD5" w:rsidRDefault="000B0AD5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5">
    <w:p w14:paraId="733BC39C" w14:textId="47CA29C5" w:rsidR="000B0AD5" w:rsidRDefault="000B0AD5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6">
    <w:p w14:paraId="1EEBECB9" w14:textId="77777777" w:rsidR="000B0AD5" w:rsidRPr="00B84EE2" w:rsidRDefault="000B0AD5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7">
    <w:p w14:paraId="5BE53C76" w14:textId="77777777" w:rsidR="000B0AD5" w:rsidRPr="00412EC4" w:rsidRDefault="000B0AD5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0B0AD5" w:rsidRDefault="00813E9C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0B0AD5" w:rsidRDefault="00813E9C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0B0AD5" w:rsidRDefault="00813E9C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0B0AD5" w:rsidRDefault="00813E9C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0B0AD5" w:rsidRPr="00B47A6C" w:rsidRDefault="00813E9C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B0AD5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0B0AD5" w:rsidRPr="00FA3890" w:rsidRDefault="00813E9C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0B0AD5" w:rsidRDefault="000B0AD5" w:rsidP="00AD0BE0">
    <w:pPr>
      <w:pStyle w:val="lfej"/>
    </w:pPr>
  </w:p>
  <w:p w14:paraId="1809E7B6" w14:textId="77777777" w:rsidR="000B0AD5" w:rsidRDefault="000B0AD5" w:rsidP="00AD0BE0">
    <w:pPr>
      <w:pStyle w:val="lfej"/>
    </w:pPr>
  </w:p>
  <w:p w14:paraId="4F0AFA3F" w14:textId="77777777" w:rsidR="000B0AD5" w:rsidRDefault="000B0AD5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0B0AD5" w:rsidRPr="00C06243" w:rsidRDefault="000B0AD5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0B0AD5" w:rsidRDefault="00813E9C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0B0AD5" w:rsidRPr="00B47A6C" w:rsidRDefault="00813E9C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B0AD5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0B0AD5" w:rsidRPr="00FA3890" w:rsidRDefault="00813E9C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0B0AD5" w:rsidRPr="00FA3890" w:rsidRDefault="000B0AD5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0B0AD5" w:rsidRDefault="000B0AD5" w:rsidP="00AD0BE0">
    <w:pPr>
      <w:pStyle w:val="lfej"/>
    </w:pPr>
  </w:p>
  <w:p w14:paraId="2F7FC325" w14:textId="77777777" w:rsidR="000B0AD5" w:rsidRDefault="000B0AD5" w:rsidP="00AD0BE0">
    <w:pPr>
      <w:pStyle w:val="lfej"/>
    </w:pPr>
  </w:p>
  <w:p w14:paraId="536E3E9A" w14:textId="77777777" w:rsidR="000B0AD5" w:rsidRDefault="000B0AD5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0B0AD5" w:rsidRPr="00C06243" w:rsidRDefault="000B0AD5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D2F7D"/>
    <w:multiLevelType w:val="hybridMultilevel"/>
    <w:tmpl w:val="FCCE126C"/>
    <w:lvl w:ilvl="0" w:tplc="F61642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F7934"/>
    <w:multiLevelType w:val="hybridMultilevel"/>
    <w:tmpl w:val="02C82DC6"/>
    <w:lvl w:ilvl="0" w:tplc="9DCE6F1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46C401A"/>
    <w:multiLevelType w:val="hybridMultilevel"/>
    <w:tmpl w:val="CBE834FA"/>
    <w:lvl w:ilvl="0" w:tplc="0F0A32A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0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17"/>
  </w:num>
  <w:num w:numId="4">
    <w:abstractNumId w:val="27"/>
  </w:num>
  <w:num w:numId="5">
    <w:abstractNumId w:val="13"/>
  </w:num>
  <w:num w:numId="6">
    <w:abstractNumId w:val="53"/>
  </w:num>
  <w:num w:numId="7">
    <w:abstractNumId w:val="43"/>
  </w:num>
  <w:num w:numId="8">
    <w:abstractNumId w:val="3"/>
  </w:num>
  <w:num w:numId="9">
    <w:abstractNumId w:val="31"/>
  </w:num>
  <w:num w:numId="10">
    <w:abstractNumId w:val="60"/>
  </w:num>
  <w:num w:numId="11">
    <w:abstractNumId w:val="15"/>
  </w:num>
  <w:num w:numId="12">
    <w:abstractNumId w:val="38"/>
  </w:num>
  <w:num w:numId="13">
    <w:abstractNumId w:val="21"/>
  </w:num>
  <w:num w:numId="14">
    <w:abstractNumId w:val="6"/>
  </w:num>
  <w:num w:numId="15">
    <w:abstractNumId w:val="1"/>
  </w:num>
  <w:num w:numId="16">
    <w:abstractNumId w:val="57"/>
  </w:num>
  <w:num w:numId="17">
    <w:abstractNumId w:val="37"/>
  </w:num>
  <w:num w:numId="18">
    <w:abstractNumId w:val="55"/>
  </w:num>
  <w:num w:numId="19">
    <w:abstractNumId w:val="8"/>
  </w:num>
  <w:num w:numId="20">
    <w:abstractNumId w:val="44"/>
  </w:num>
  <w:num w:numId="21">
    <w:abstractNumId w:val="33"/>
  </w:num>
  <w:num w:numId="22">
    <w:abstractNumId w:val="32"/>
  </w:num>
  <w:num w:numId="23">
    <w:abstractNumId w:val="49"/>
  </w:num>
  <w:num w:numId="24">
    <w:abstractNumId w:val="30"/>
  </w:num>
  <w:num w:numId="25">
    <w:abstractNumId w:val="52"/>
  </w:num>
  <w:num w:numId="26">
    <w:abstractNumId w:val="19"/>
  </w:num>
  <w:num w:numId="27">
    <w:abstractNumId w:val="26"/>
  </w:num>
  <w:num w:numId="28">
    <w:abstractNumId w:val="5"/>
  </w:num>
  <w:num w:numId="29">
    <w:abstractNumId w:val="12"/>
  </w:num>
  <w:num w:numId="30">
    <w:abstractNumId w:val="0"/>
  </w:num>
  <w:num w:numId="31">
    <w:abstractNumId w:val="51"/>
  </w:num>
  <w:num w:numId="32">
    <w:abstractNumId w:val="23"/>
  </w:num>
  <w:num w:numId="33">
    <w:abstractNumId w:val="46"/>
  </w:num>
  <w:num w:numId="34">
    <w:abstractNumId w:val="10"/>
  </w:num>
  <w:num w:numId="35">
    <w:abstractNumId w:val="54"/>
  </w:num>
  <w:num w:numId="36">
    <w:abstractNumId w:val="25"/>
  </w:num>
  <w:num w:numId="37">
    <w:abstractNumId w:val="34"/>
  </w:num>
  <w:num w:numId="38">
    <w:abstractNumId w:val="41"/>
  </w:num>
  <w:num w:numId="39">
    <w:abstractNumId w:val="20"/>
  </w:num>
  <w:num w:numId="40">
    <w:abstractNumId w:val="16"/>
  </w:num>
  <w:num w:numId="41">
    <w:abstractNumId w:val="11"/>
  </w:num>
  <w:num w:numId="42">
    <w:abstractNumId w:val="47"/>
  </w:num>
  <w:num w:numId="43">
    <w:abstractNumId w:val="58"/>
  </w:num>
  <w:num w:numId="44">
    <w:abstractNumId w:val="35"/>
  </w:num>
  <w:num w:numId="45">
    <w:abstractNumId w:val="9"/>
  </w:num>
  <w:num w:numId="46">
    <w:abstractNumId w:val="24"/>
  </w:num>
  <w:num w:numId="47">
    <w:abstractNumId w:val="56"/>
  </w:num>
  <w:num w:numId="48">
    <w:abstractNumId w:val="7"/>
  </w:num>
  <w:num w:numId="49">
    <w:abstractNumId w:val="59"/>
  </w:num>
  <w:num w:numId="50">
    <w:abstractNumId w:val="42"/>
  </w:num>
  <w:num w:numId="51">
    <w:abstractNumId w:val="2"/>
  </w:num>
  <w:num w:numId="52">
    <w:abstractNumId w:val="4"/>
  </w:num>
  <w:num w:numId="53">
    <w:abstractNumId w:val="40"/>
  </w:num>
  <w:num w:numId="54">
    <w:abstractNumId w:val="45"/>
  </w:num>
  <w:num w:numId="55">
    <w:abstractNumId w:val="28"/>
  </w:num>
  <w:num w:numId="56">
    <w:abstractNumId w:val="18"/>
  </w:num>
  <w:num w:numId="57">
    <w:abstractNumId w:val="50"/>
  </w:num>
  <w:num w:numId="58">
    <w:abstractNumId w:val="22"/>
  </w:num>
  <w:num w:numId="59">
    <w:abstractNumId w:val="36"/>
  </w:num>
  <w:num w:numId="60">
    <w:abstractNumId w:val="48"/>
  </w:num>
  <w:num w:numId="61">
    <w:abstractNumId w:val="14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0AD5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4E3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27D1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AB5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0A4E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646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C4C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3EE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B6044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6EC6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3E9C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2975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27F8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1FC1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23C26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3F99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674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64A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35FF0"/>
    <w:rsid w:val="00C37DA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2EAE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68D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16029"/>
    <w:rsid w:val="00F2249B"/>
    <w:rsid w:val="00F23507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684C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99"/>
    <w:rsid w:val="004B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99"/>
    <w:rsid w:val="004B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1F74-E508-4328-8138-861E2741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83</Pages>
  <Words>19619</Words>
  <Characters>135375</Characters>
  <Application>Microsoft Office Word</Application>
  <DocSecurity>0</DocSecurity>
  <Lines>1128</Lines>
  <Paragraphs>309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154685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22</cp:revision>
  <cp:lastPrinted>2019-04-01T13:42:00Z</cp:lastPrinted>
  <dcterms:created xsi:type="dcterms:W3CDTF">2019-06-12T09:03:00Z</dcterms:created>
  <dcterms:modified xsi:type="dcterms:W3CDTF">2019-06-17T16:08:00Z</dcterms:modified>
</cp:coreProperties>
</file>