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56E66D01" w:rsidR="0032087D" w:rsidRPr="00B8072E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8072E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B8072E">
        <w:rPr>
          <w:rFonts w:ascii="Times New Roman" w:hAnsi="Times New Roman"/>
          <w:b/>
          <w:bCs/>
          <w:caps/>
          <w:sz w:val="28"/>
          <w:szCs w:val="28"/>
        </w:rPr>
        <w:t>A-</w:t>
      </w:r>
      <w:r w:rsidR="00E75948" w:rsidRPr="00B8072E">
        <w:rPr>
          <w:rFonts w:ascii="Times New Roman" w:hAnsi="Times New Roman"/>
          <w:b/>
          <w:bCs/>
          <w:caps/>
          <w:sz w:val="28"/>
          <w:szCs w:val="28"/>
        </w:rPr>
        <w:t>5.2.3</w:t>
      </w:r>
      <w:r w:rsidR="00F37A3D" w:rsidRPr="00B8072E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 w:rsidRPr="00B8072E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B8072E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8072E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B8072E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 w:rsidRPr="00B807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072E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Pr="00B8072E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217737D5" w:rsidR="0032087D" w:rsidRPr="00F37A3D" w:rsidRDefault="00E75948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72E">
        <w:rPr>
          <w:rFonts w:ascii="Times New Roman" w:hAnsi="Times New Roman"/>
          <w:b/>
          <w:bCs/>
          <w:sz w:val="28"/>
          <w:szCs w:val="28"/>
        </w:rPr>
        <w:t>A nemzetközi bűnügyi adat-, információcsere terén adatkapcsolatok kialakítása, fejlesztése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01EFB3A1" w14:textId="77777777" w:rsidR="00DB7EC2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609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_Toc11685609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4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63CAE168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10" w:history="1">
            <w:r w:rsidR="00DB7EC2" w:rsidRPr="008D423B">
              <w:rPr>
                <w:rStyle w:val="Hiperhivatkozs"/>
              </w:rPr>
              <w:t>I.1. Általános információk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_Toc11685610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</w:t>
            </w:r>
            <w:r w:rsidR="00DB7EC2">
              <w:rPr>
                <w:webHidden/>
              </w:rPr>
              <w:fldChar w:fldCharType="end"/>
            </w:r>
          </w:hyperlink>
        </w:p>
        <w:p w14:paraId="79363C48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11" w:history="1">
            <w:r w:rsidR="00DB7EC2" w:rsidRPr="008D423B">
              <w:rPr>
                <w:rStyle w:val="Hiperhivatkozs"/>
              </w:rPr>
              <w:t>I.1.1. A támogatási kérelmek benyújtásának módja, helye és ideje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_Toc11685611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</w:t>
            </w:r>
            <w:r w:rsidR="00DB7EC2">
              <w:rPr>
                <w:webHidden/>
              </w:rPr>
              <w:fldChar w:fldCharType="end"/>
            </w:r>
          </w:hyperlink>
        </w:p>
        <w:p w14:paraId="30B37D69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12" w:history="1">
            <w:r w:rsidR="00DB7EC2" w:rsidRPr="008D423B">
              <w:rPr>
                <w:rStyle w:val="Hiperhivatkozs"/>
              </w:rPr>
              <w:t>I.1.2. A támogatást igénylők tájékoztatása, értesítése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_Toc11685612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5</w:t>
            </w:r>
            <w:r w:rsidR="00DB7EC2">
              <w:rPr>
                <w:webHidden/>
              </w:rPr>
              <w:fldChar w:fldCharType="end"/>
            </w:r>
          </w:hyperlink>
        </w:p>
        <w:p w14:paraId="70DEE44E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13" w:history="1">
            <w:r w:rsidR="00DB7EC2" w:rsidRPr="008D423B">
              <w:rPr>
                <w:rStyle w:val="Hiperhivatkozs"/>
              </w:rPr>
              <w:t>I.2. Pénzügyi információk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_Toc11685613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6</w:t>
            </w:r>
            <w:r w:rsidR="00DB7EC2">
              <w:rPr>
                <w:webHidden/>
              </w:rPr>
              <w:fldChar w:fldCharType="end"/>
            </w:r>
          </w:hyperlink>
        </w:p>
        <w:p w14:paraId="31E98943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14" w:history="1">
            <w:r w:rsidR="00DB7EC2" w:rsidRPr="008D423B">
              <w:rPr>
                <w:rStyle w:val="Hiperhivatkozs"/>
              </w:rPr>
              <w:t>I.2.1 Általános információk, a finanszírozás módja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_Toc11685614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6</w:t>
            </w:r>
            <w:r w:rsidR="00DB7EC2">
              <w:rPr>
                <w:webHidden/>
              </w:rPr>
              <w:fldChar w:fldCharType="end"/>
            </w:r>
          </w:hyperlink>
        </w:p>
        <w:p w14:paraId="67438BCE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15" w:history="1">
            <w:r w:rsidR="00DB7EC2" w:rsidRPr="008D423B">
              <w:rPr>
                <w:rStyle w:val="Hiperhivatkozs"/>
              </w:rPr>
              <w:t>I.3. Célcsoport/ egyéb közreműködők és támogatható intézkedések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_Toc11685615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7</w:t>
            </w:r>
            <w:r w:rsidR="00DB7EC2">
              <w:rPr>
                <w:webHidden/>
              </w:rPr>
              <w:fldChar w:fldCharType="end"/>
            </w:r>
          </w:hyperlink>
        </w:p>
        <w:p w14:paraId="25574E15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16" w:history="1">
            <w:r w:rsidR="00DB7EC2" w:rsidRPr="008D423B">
              <w:rPr>
                <w:rStyle w:val="Hiperhivatkozs"/>
              </w:rPr>
              <w:t>I.3.1 Célcsoport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_Toc11685616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7</w:t>
            </w:r>
            <w:r w:rsidR="00DB7EC2">
              <w:rPr>
                <w:webHidden/>
              </w:rPr>
              <w:fldChar w:fldCharType="end"/>
            </w:r>
          </w:hyperlink>
        </w:p>
        <w:p w14:paraId="215B32DA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17" w:history="1">
            <w:r w:rsidR="00DB7EC2" w:rsidRPr="008D423B">
              <w:rPr>
                <w:rStyle w:val="Hiperhivatkozs"/>
              </w:rPr>
              <w:t>I.3.2. Támogatható intézkedés ismertetése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_Toc11685617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7</w:t>
            </w:r>
            <w:r w:rsidR="00DB7EC2">
              <w:rPr>
                <w:webHidden/>
              </w:rPr>
              <w:fldChar w:fldCharType="end"/>
            </w:r>
          </w:hyperlink>
        </w:p>
        <w:p w14:paraId="42BAAA04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18" w:history="1">
            <w:r w:rsidR="00DB7EC2" w:rsidRPr="008D423B">
              <w:rPr>
                <w:rStyle w:val="Hiperhivatkozs"/>
              </w:rPr>
              <w:t>I. 4. A BBA-ra vonatkozó főbb jogszabályok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_Toc11685618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8</w:t>
            </w:r>
            <w:r w:rsidR="00DB7EC2">
              <w:rPr>
                <w:webHidden/>
              </w:rPr>
              <w:fldChar w:fldCharType="end"/>
            </w:r>
          </w:hyperlink>
        </w:p>
        <w:p w14:paraId="0E19269C" w14:textId="77777777" w:rsidR="00DB7EC2" w:rsidRDefault="00EE692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19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_Toc11685619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12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75EAE943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20" w:history="1">
            <w:r w:rsidR="00DB7EC2" w:rsidRPr="008D423B">
              <w:rPr>
                <w:rStyle w:val="Hiperhivatkozs"/>
              </w:rPr>
              <w:t>II.1. Jogszabályi előírásoknak való megfelelőség vizsgálata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_Toc11685620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12</w:t>
            </w:r>
            <w:r w:rsidR="00DB7EC2">
              <w:rPr>
                <w:webHidden/>
              </w:rPr>
              <w:fldChar w:fldCharType="end"/>
            </w:r>
          </w:hyperlink>
        </w:p>
        <w:p w14:paraId="5003B131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21" w:history="1">
            <w:r w:rsidR="00DB7EC2" w:rsidRPr="008D423B">
              <w:rPr>
                <w:rStyle w:val="Hiperhivatkozs"/>
              </w:rPr>
              <w:t>II.2. Gazdasági és pénzügyi alkalmasság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_Toc11685621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17</w:t>
            </w:r>
            <w:r w:rsidR="00DB7EC2">
              <w:rPr>
                <w:webHidden/>
              </w:rPr>
              <w:fldChar w:fldCharType="end"/>
            </w:r>
          </w:hyperlink>
        </w:p>
        <w:p w14:paraId="38B17666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22" w:history="1">
            <w:r w:rsidR="00DB7EC2" w:rsidRPr="008D423B">
              <w:rPr>
                <w:rStyle w:val="Hiperhivatkozs"/>
              </w:rPr>
              <w:t>II 3. Partner bevonása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_Toc11685622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17</w:t>
            </w:r>
            <w:r w:rsidR="00DB7EC2">
              <w:rPr>
                <w:webHidden/>
              </w:rPr>
              <w:fldChar w:fldCharType="end"/>
            </w:r>
          </w:hyperlink>
        </w:p>
        <w:p w14:paraId="0B17F97B" w14:textId="77777777" w:rsidR="00DB7EC2" w:rsidRDefault="00EE692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23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_Toc11685623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18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31CA8FAB" w14:textId="77777777" w:rsidR="00DB7EC2" w:rsidRDefault="00EE692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24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_Toc11685624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19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42F65E80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25" w:history="1">
            <w:r w:rsidR="00DB7EC2" w:rsidRPr="008D423B">
              <w:rPr>
                <w:rStyle w:val="Hiperhivatkozs"/>
              </w:rPr>
              <w:t>IV.1. Előlegre vonatkozó szabályok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_Toc11685625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19</w:t>
            </w:r>
            <w:r w:rsidR="00DB7EC2">
              <w:rPr>
                <w:webHidden/>
              </w:rPr>
              <w:fldChar w:fldCharType="end"/>
            </w:r>
          </w:hyperlink>
        </w:p>
        <w:p w14:paraId="00942401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26" w:history="1">
            <w:r w:rsidR="00DB7EC2" w:rsidRPr="008D423B">
              <w:rPr>
                <w:rStyle w:val="Hiperhivatkozs"/>
              </w:rPr>
              <w:t>IV.2. Az elszámolhatóság általános feltételei: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_Toc11685626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19</w:t>
            </w:r>
            <w:r w:rsidR="00DB7EC2">
              <w:rPr>
                <w:webHidden/>
              </w:rPr>
              <w:fldChar w:fldCharType="end"/>
            </w:r>
          </w:hyperlink>
        </w:p>
        <w:p w14:paraId="4E35E320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27" w:history="1">
            <w:r w:rsidR="00DB7EC2" w:rsidRPr="008D423B">
              <w:rPr>
                <w:rStyle w:val="Hiperhivatkozs"/>
              </w:rPr>
              <w:t>IV.3. Az elszámolható költségek köre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_Toc11685627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23</w:t>
            </w:r>
            <w:r w:rsidR="00DB7EC2">
              <w:rPr>
                <w:webHidden/>
              </w:rPr>
              <w:fldChar w:fldCharType="end"/>
            </w:r>
          </w:hyperlink>
        </w:p>
        <w:p w14:paraId="04571547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28" w:history="1">
            <w:r w:rsidR="00DB7EC2" w:rsidRPr="008D423B">
              <w:rPr>
                <w:rStyle w:val="Hiperhivatkozs"/>
              </w:rPr>
              <w:t>IV.3.1. Projekt előkészítés költségei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_Toc11685628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24</w:t>
            </w:r>
            <w:r w:rsidR="00DB7EC2">
              <w:rPr>
                <w:webHidden/>
              </w:rPr>
              <w:fldChar w:fldCharType="end"/>
            </w:r>
          </w:hyperlink>
        </w:p>
        <w:p w14:paraId="1BD7EAC9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29" w:history="1">
            <w:r w:rsidR="00DB7EC2" w:rsidRPr="008D423B">
              <w:rPr>
                <w:rStyle w:val="Hiperhivatkozs"/>
              </w:rPr>
              <w:t>IV.3.2. Beruházáshoz kapcsolódó költségek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_Toc11685629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25</w:t>
            </w:r>
            <w:r w:rsidR="00DB7EC2">
              <w:rPr>
                <w:webHidden/>
              </w:rPr>
              <w:fldChar w:fldCharType="end"/>
            </w:r>
          </w:hyperlink>
        </w:p>
        <w:p w14:paraId="4556D804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30" w:history="1">
            <w:r w:rsidR="00DB7EC2" w:rsidRPr="008D423B">
              <w:rPr>
                <w:rStyle w:val="Hiperhivatkozs"/>
              </w:rPr>
              <w:t>IV.3.3. Szakmai megvalósításhoz kapcsolódó szolgáltatások költségei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_Toc11685630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28</w:t>
            </w:r>
            <w:r w:rsidR="00DB7EC2">
              <w:rPr>
                <w:webHidden/>
              </w:rPr>
              <w:fldChar w:fldCharType="end"/>
            </w:r>
          </w:hyperlink>
        </w:p>
        <w:p w14:paraId="2FA9F7BB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31" w:history="1">
            <w:r w:rsidR="00DB7EC2" w:rsidRPr="008D423B">
              <w:rPr>
                <w:rStyle w:val="Hiperhivatkozs"/>
              </w:rPr>
              <w:t>IV.3.4. Szakmai megvalósításában közreműködők költségei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_Toc11685631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30</w:t>
            </w:r>
            <w:r w:rsidR="00DB7EC2">
              <w:rPr>
                <w:webHidden/>
              </w:rPr>
              <w:fldChar w:fldCharType="end"/>
            </w:r>
          </w:hyperlink>
        </w:p>
        <w:p w14:paraId="26919874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32" w:history="1">
            <w:r w:rsidR="00DB7EC2" w:rsidRPr="008D423B">
              <w:rPr>
                <w:rStyle w:val="Hiperhivatkozs"/>
              </w:rPr>
              <w:t>IV.3.5</w:t>
            </w:r>
            <w:r w:rsidR="00DB7EC2" w:rsidRPr="008D423B">
              <w:rPr>
                <w:rStyle w:val="Hiperhivatkozs"/>
                <w:lang w:eastAsia="hu-HU"/>
              </w:rPr>
              <w:t>. Szakmai megvalósításhoz kapcsolódó egyéb költségek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_Toc11685632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33</w:t>
            </w:r>
            <w:r w:rsidR="00DB7EC2">
              <w:rPr>
                <w:webHidden/>
              </w:rPr>
              <w:fldChar w:fldCharType="end"/>
            </w:r>
          </w:hyperlink>
        </w:p>
        <w:p w14:paraId="3A92539C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33" w:history="1">
            <w:r w:rsidR="00DB7EC2" w:rsidRPr="008D423B">
              <w:rPr>
                <w:rStyle w:val="Hiperhivatkozs"/>
              </w:rPr>
              <w:t>IV.3.6</w:t>
            </w:r>
            <w:r w:rsidR="00DB7EC2" w:rsidRPr="008D423B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_Toc11685633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33</w:t>
            </w:r>
            <w:r w:rsidR="00DB7EC2">
              <w:rPr>
                <w:webHidden/>
              </w:rPr>
              <w:fldChar w:fldCharType="end"/>
            </w:r>
          </w:hyperlink>
        </w:p>
        <w:p w14:paraId="1A9E6DBA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34" w:history="1">
            <w:r w:rsidR="00DB7EC2" w:rsidRPr="008D423B">
              <w:rPr>
                <w:rStyle w:val="Hiperhivatkozs"/>
              </w:rPr>
              <w:t>IV.3.7. Projektmenedzsment költségek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_Toc11685634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33</w:t>
            </w:r>
            <w:r w:rsidR="00DB7EC2">
              <w:rPr>
                <w:webHidden/>
              </w:rPr>
              <w:fldChar w:fldCharType="end"/>
            </w:r>
          </w:hyperlink>
        </w:p>
        <w:p w14:paraId="4AE43B2E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35" w:history="1">
            <w:r w:rsidR="00DB7EC2" w:rsidRPr="008D423B">
              <w:rPr>
                <w:rStyle w:val="Hiperhivatkozs"/>
              </w:rPr>
              <w:t>IV.3.8. Közvetett költség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_Toc11685635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34</w:t>
            </w:r>
            <w:r w:rsidR="00DB7EC2">
              <w:rPr>
                <w:webHidden/>
              </w:rPr>
              <w:fldChar w:fldCharType="end"/>
            </w:r>
          </w:hyperlink>
        </w:p>
        <w:p w14:paraId="30BF3FE9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36" w:history="1">
            <w:r w:rsidR="00DB7EC2" w:rsidRPr="008D423B">
              <w:rPr>
                <w:rStyle w:val="Hiperhivatkozs"/>
              </w:rPr>
              <w:t>IV.4. A projekt végrehajtás további szabályai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_Toc11685636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35</w:t>
            </w:r>
            <w:r w:rsidR="00DB7EC2">
              <w:rPr>
                <w:webHidden/>
              </w:rPr>
              <w:fldChar w:fldCharType="end"/>
            </w:r>
          </w:hyperlink>
        </w:p>
        <w:p w14:paraId="34038C36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37" w:history="1">
            <w:r w:rsidR="00DB7EC2" w:rsidRPr="008D423B">
              <w:rPr>
                <w:rStyle w:val="Hiperhivatkozs"/>
              </w:rPr>
              <w:t>IV.5. Nem elszámolható költségek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_Toc11685637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35</w:t>
            </w:r>
            <w:r w:rsidR="00DB7EC2">
              <w:rPr>
                <w:webHidden/>
              </w:rPr>
              <w:fldChar w:fldCharType="end"/>
            </w:r>
          </w:hyperlink>
        </w:p>
        <w:p w14:paraId="0726C0CC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38" w:history="1">
            <w:r w:rsidR="00DB7EC2" w:rsidRPr="008D423B">
              <w:rPr>
                <w:rStyle w:val="Hiperhivatkozs"/>
              </w:rPr>
              <w:t>IV.6. Bevételek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_Toc11685638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36</w:t>
            </w:r>
            <w:r w:rsidR="00DB7EC2">
              <w:rPr>
                <w:webHidden/>
              </w:rPr>
              <w:fldChar w:fldCharType="end"/>
            </w:r>
          </w:hyperlink>
        </w:p>
        <w:p w14:paraId="74BF0907" w14:textId="77777777" w:rsidR="00DB7EC2" w:rsidRDefault="00EE692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39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_Toc11685639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37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5FCA5737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40" w:history="1">
            <w:r w:rsidR="00DB7EC2" w:rsidRPr="008D423B">
              <w:rPr>
                <w:rStyle w:val="Hiperhivatkozs"/>
              </w:rPr>
              <w:t>V.1 Értékelési szempontrendszer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_Toc11685640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37</w:t>
            </w:r>
            <w:r w:rsidR="00DB7EC2">
              <w:rPr>
                <w:webHidden/>
              </w:rPr>
              <w:fldChar w:fldCharType="end"/>
            </w:r>
          </w:hyperlink>
        </w:p>
        <w:p w14:paraId="7080B49D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41" w:history="1">
            <w:r w:rsidR="00DB7EC2" w:rsidRPr="008D423B">
              <w:rPr>
                <w:rStyle w:val="Hiperhivatkozs"/>
              </w:rPr>
              <w:t>V.2 Nem támogatható a pályázat, amennyiben: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_Toc11685641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44</w:t>
            </w:r>
            <w:r w:rsidR="00DB7EC2">
              <w:rPr>
                <w:webHidden/>
              </w:rPr>
              <w:fldChar w:fldCharType="end"/>
            </w:r>
          </w:hyperlink>
        </w:p>
        <w:p w14:paraId="149DF0DC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42" w:history="1">
            <w:r w:rsidR="00DB7EC2" w:rsidRPr="008D423B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_Toc11685642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45</w:t>
            </w:r>
            <w:r w:rsidR="00DB7EC2">
              <w:rPr>
                <w:webHidden/>
              </w:rPr>
              <w:fldChar w:fldCharType="end"/>
            </w:r>
          </w:hyperlink>
        </w:p>
        <w:p w14:paraId="0A2DEB49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43" w:history="1">
            <w:r w:rsidR="00DB7EC2" w:rsidRPr="008D423B">
              <w:rPr>
                <w:rStyle w:val="Hiperhivatkozs"/>
              </w:rPr>
              <w:t>V.4. Hiánypótlás, tisztázó kérdés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_Toc11685643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45</w:t>
            </w:r>
            <w:r w:rsidR="00DB7EC2">
              <w:rPr>
                <w:webHidden/>
              </w:rPr>
              <w:fldChar w:fldCharType="end"/>
            </w:r>
          </w:hyperlink>
        </w:p>
        <w:p w14:paraId="1EA80E50" w14:textId="77777777" w:rsidR="00DB7EC2" w:rsidRDefault="00EE692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44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_Toc11685644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46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3039CEC8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45" w:history="1">
            <w:r w:rsidR="00DB7EC2" w:rsidRPr="008D423B">
              <w:rPr>
                <w:rStyle w:val="Hiperhivatkozs"/>
              </w:rPr>
              <w:t>VI.1. Ellenőrzési tevékenységek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_Toc11685645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46</w:t>
            </w:r>
            <w:r w:rsidR="00DB7EC2">
              <w:rPr>
                <w:webHidden/>
              </w:rPr>
              <w:fldChar w:fldCharType="end"/>
            </w:r>
          </w:hyperlink>
        </w:p>
        <w:p w14:paraId="34BE9F94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46" w:history="1">
            <w:r w:rsidR="00DB7EC2" w:rsidRPr="008D423B">
              <w:rPr>
                <w:rStyle w:val="Hiperhivatkozs"/>
              </w:rPr>
              <w:t>VI.1.1. A Felelős Hatóság ellenőrző tevékenysége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_Toc11685646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46</w:t>
            </w:r>
            <w:r w:rsidR="00DB7EC2">
              <w:rPr>
                <w:webHidden/>
              </w:rPr>
              <w:fldChar w:fldCharType="end"/>
            </w:r>
          </w:hyperlink>
        </w:p>
        <w:p w14:paraId="0FFCD134" w14:textId="77777777" w:rsidR="00DB7EC2" w:rsidRDefault="00EE692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47" w:history="1">
            <w:r w:rsidR="00DB7EC2" w:rsidRPr="008D423B">
              <w:rPr>
                <w:rStyle w:val="Hiperhivatkozs"/>
              </w:rPr>
              <w:t>VI.1.2. Egyéb szervezetek ellenőrző tevékenysége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_Toc11685647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48</w:t>
            </w:r>
            <w:r w:rsidR="00DB7EC2">
              <w:rPr>
                <w:webHidden/>
              </w:rPr>
              <w:fldChar w:fldCharType="end"/>
            </w:r>
          </w:hyperlink>
        </w:p>
        <w:p w14:paraId="70F26299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48" w:history="1">
            <w:r w:rsidR="00DB7EC2" w:rsidRPr="008D423B">
              <w:rPr>
                <w:rStyle w:val="Hiperhivatkozs"/>
              </w:rPr>
              <w:t>VI.2. Adatszolgáltatási kötelezettség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_Toc11685648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48</w:t>
            </w:r>
            <w:r w:rsidR="00DB7EC2">
              <w:rPr>
                <w:webHidden/>
              </w:rPr>
              <w:fldChar w:fldCharType="end"/>
            </w:r>
          </w:hyperlink>
        </w:p>
        <w:p w14:paraId="1DBD75F4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49" w:history="1">
            <w:r w:rsidR="00DB7EC2" w:rsidRPr="008D423B">
              <w:rPr>
                <w:rStyle w:val="Hiperhivatkozs"/>
              </w:rPr>
              <w:t>VI.3. Láthatóság és disszemináció biztosítása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_Toc11685649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49</w:t>
            </w:r>
            <w:r w:rsidR="00DB7EC2">
              <w:rPr>
                <w:webHidden/>
              </w:rPr>
              <w:fldChar w:fldCharType="end"/>
            </w:r>
          </w:hyperlink>
        </w:p>
        <w:p w14:paraId="0862DA8D" w14:textId="77777777" w:rsidR="00DB7EC2" w:rsidRDefault="00EE692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50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_Toc11685650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49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5366FC95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51" w:history="1">
            <w:r w:rsidR="00DB7EC2" w:rsidRPr="008D423B">
              <w:rPr>
                <w:rStyle w:val="Hiperhivatkozs"/>
              </w:rPr>
              <w:t>VII.1 Betekintési jog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_Toc11685651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49</w:t>
            </w:r>
            <w:r w:rsidR="00DB7EC2">
              <w:rPr>
                <w:webHidden/>
              </w:rPr>
              <w:fldChar w:fldCharType="end"/>
            </w:r>
          </w:hyperlink>
        </w:p>
        <w:p w14:paraId="30F4C429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52" w:history="1">
            <w:r w:rsidR="00DB7EC2" w:rsidRPr="008D423B">
              <w:rPr>
                <w:rStyle w:val="Hiperhivatkozs"/>
              </w:rPr>
              <w:t>VII.2. Kifogás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_Toc11685652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49</w:t>
            </w:r>
            <w:r w:rsidR="00DB7EC2">
              <w:rPr>
                <w:webHidden/>
              </w:rPr>
              <w:fldChar w:fldCharType="end"/>
            </w:r>
          </w:hyperlink>
        </w:p>
        <w:p w14:paraId="39161F2E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53" w:history="1">
            <w:r w:rsidR="00DB7EC2" w:rsidRPr="008D423B">
              <w:rPr>
                <w:rStyle w:val="Hiperhivatkozs"/>
              </w:rPr>
              <w:t>VII.3. A Támogatási Szerződés megkötésének módja, feltételei (biztosítékok)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_Toc11685653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50</w:t>
            </w:r>
            <w:r w:rsidR="00DB7EC2">
              <w:rPr>
                <w:webHidden/>
              </w:rPr>
              <w:fldChar w:fldCharType="end"/>
            </w:r>
          </w:hyperlink>
        </w:p>
        <w:p w14:paraId="20B6E9BA" w14:textId="77777777" w:rsidR="00DB7EC2" w:rsidRDefault="00EE692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54" w:history="1">
            <w:r w:rsidR="00DB7EC2" w:rsidRPr="008D423B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DB7EC2">
              <w:rPr>
                <w:noProof/>
                <w:webHidden/>
              </w:rPr>
              <w:tab/>
            </w:r>
            <w:r w:rsidR="00DB7EC2">
              <w:rPr>
                <w:noProof/>
                <w:webHidden/>
              </w:rPr>
              <w:fldChar w:fldCharType="begin"/>
            </w:r>
            <w:r w:rsidR="00DB7EC2">
              <w:rPr>
                <w:noProof/>
                <w:webHidden/>
              </w:rPr>
              <w:instrText xml:space="preserve"> PAGEREF _Toc11685654 \h </w:instrText>
            </w:r>
            <w:r w:rsidR="00DB7EC2">
              <w:rPr>
                <w:noProof/>
                <w:webHidden/>
              </w:rPr>
            </w:r>
            <w:r w:rsidR="00DB7EC2">
              <w:rPr>
                <w:noProof/>
                <w:webHidden/>
              </w:rPr>
              <w:fldChar w:fldCharType="separate"/>
            </w:r>
            <w:r w:rsidR="00DB7EC2">
              <w:rPr>
                <w:noProof/>
                <w:webHidden/>
              </w:rPr>
              <w:t>51</w:t>
            </w:r>
            <w:r w:rsidR="00DB7EC2">
              <w:rPr>
                <w:noProof/>
                <w:webHidden/>
              </w:rPr>
              <w:fldChar w:fldCharType="end"/>
            </w:r>
          </w:hyperlink>
        </w:p>
        <w:p w14:paraId="24313906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55" w:history="1">
            <w:r w:rsidR="00DB7EC2" w:rsidRPr="008D423B">
              <w:rPr>
                <w:rStyle w:val="Hiperhivatkozs"/>
              </w:rPr>
              <w:t>VIII.1. Támogatási Szerződés minta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_Toc11685655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51</w:t>
            </w:r>
            <w:r w:rsidR="00DB7EC2">
              <w:rPr>
                <w:webHidden/>
              </w:rPr>
              <w:fldChar w:fldCharType="end"/>
            </w:r>
          </w:hyperlink>
        </w:p>
        <w:p w14:paraId="0F65545A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56" w:history="1">
            <w:r w:rsidR="00DB7EC2" w:rsidRPr="008D423B">
              <w:rPr>
                <w:rStyle w:val="Hiperhivatkozs"/>
              </w:rPr>
              <w:t>VIII.2. Az Általános Szerződési Feltételek dokumentuma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_Toc11685656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51</w:t>
            </w:r>
            <w:r w:rsidR="00DB7EC2">
              <w:rPr>
                <w:webHidden/>
              </w:rPr>
              <w:fldChar w:fldCharType="end"/>
            </w:r>
          </w:hyperlink>
        </w:p>
        <w:p w14:paraId="3D61CAE0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57" w:history="1">
            <w:r w:rsidR="00DB7EC2" w:rsidRPr="008D423B">
              <w:rPr>
                <w:rStyle w:val="Hiperhivatkozs"/>
              </w:rPr>
              <w:t>VIII.3. Választható indikátorok listája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_Toc11685657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52</w:t>
            </w:r>
            <w:r w:rsidR="00DB7EC2">
              <w:rPr>
                <w:webHidden/>
              </w:rPr>
              <w:fldChar w:fldCharType="end"/>
            </w:r>
          </w:hyperlink>
        </w:p>
        <w:p w14:paraId="6BB0C678" w14:textId="77777777" w:rsidR="00DB7EC2" w:rsidRDefault="00EE692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58" w:history="1">
            <w:r w:rsidR="00DB7EC2" w:rsidRPr="008D423B">
              <w:rPr>
                <w:rStyle w:val="Hiperhivatkozs"/>
              </w:rPr>
              <w:t>VIII.4. Pályázat adattartalma</w:t>
            </w:r>
            <w:r w:rsidR="00DB7EC2">
              <w:rPr>
                <w:webHidden/>
              </w:rPr>
              <w:tab/>
            </w:r>
            <w:r w:rsidR="00DB7EC2">
              <w:rPr>
                <w:webHidden/>
              </w:rPr>
              <w:fldChar w:fldCharType="begin"/>
            </w:r>
            <w:r w:rsidR="00DB7EC2">
              <w:rPr>
                <w:webHidden/>
              </w:rPr>
              <w:instrText xml:space="preserve"> PAGEREF _Toc11685658 \h </w:instrText>
            </w:r>
            <w:r w:rsidR="00DB7EC2">
              <w:rPr>
                <w:webHidden/>
              </w:rPr>
            </w:r>
            <w:r w:rsidR="00DB7EC2">
              <w:rPr>
                <w:webHidden/>
              </w:rPr>
              <w:fldChar w:fldCharType="separate"/>
            </w:r>
            <w:r w:rsidR="00DB7EC2">
              <w:rPr>
                <w:webHidden/>
              </w:rPr>
              <w:t>54</w:t>
            </w:r>
            <w:r w:rsidR="00DB7EC2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60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61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61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789A5F3A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8A2425">
        <w:rPr>
          <w:rFonts w:ascii="Times New Roman" w:hAnsi="Times New Roman"/>
          <w:sz w:val="24"/>
          <w:szCs w:val="24"/>
        </w:rPr>
        <w:t xml:space="preserve">kérelmek </w:t>
      </w:r>
      <w:r w:rsidRPr="008A2425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8A2425">
        <w:rPr>
          <w:rFonts w:ascii="Times New Roman" w:hAnsi="Times New Roman"/>
          <w:b/>
          <w:bCs/>
          <w:sz w:val="24"/>
          <w:szCs w:val="24"/>
        </w:rPr>
        <w:t>9</w:t>
      </w:r>
      <w:r w:rsidRPr="008A242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F0C4E" w:rsidRPr="008A2425">
        <w:rPr>
          <w:rFonts w:ascii="Times New Roman" w:hAnsi="Times New Roman"/>
          <w:b/>
          <w:bCs/>
          <w:sz w:val="24"/>
          <w:szCs w:val="24"/>
        </w:rPr>
        <w:t>november</w:t>
      </w:r>
      <w:r w:rsidR="00BB1148" w:rsidRPr="008A24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0C4E" w:rsidRPr="008A2425">
        <w:rPr>
          <w:rFonts w:ascii="Times New Roman" w:hAnsi="Times New Roman"/>
          <w:b/>
          <w:bCs/>
          <w:sz w:val="24"/>
          <w:szCs w:val="24"/>
        </w:rPr>
        <w:t>7</w:t>
      </w:r>
      <w:r w:rsidR="00BB1148" w:rsidRPr="008A2425">
        <w:rPr>
          <w:rFonts w:ascii="Times New Roman" w:hAnsi="Times New Roman"/>
          <w:b/>
          <w:bCs/>
          <w:sz w:val="24"/>
          <w:szCs w:val="24"/>
        </w:rPr>
        <w:t>-én</w:t>
      </w:r>
      <w:r w:rsidRPr="008A2425">
        <w:rPr>
          <w:rFonts w:ascii="Times New Roman" w:hAnsi="Times New Roman"/>
          <w:b/>
          <w:bCs/>
          <w:sz w:val="24"/>
          <w:szCs w:val="24"/>
        </w:rPr>
        <w:t xml:space="preserve"> 12.00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182D168A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sz</w:t>
      </w:r>
      <w:r w:rsidR="00EF0C4E">
        <w:rPr>
          <w:rFonts w:ascii="Times New Roman" w:hAnsi="Times New Roman"/>
          <w:sz w:val="24"/>
          <w:szCs w:val="24"/>
        </w:rPr>
        <w:t>erződéskötés várható időpontja</w:t>
      </w:r>
      <w:r w:rsidR="00EF0C4E" w:rsidRPr="008A2425">
        <w:rPr>
          <w:rFonts w:ascii="Times New Roman" w:hAnsi="Times New Roman"/>
          <w:sz w:val="24"/>
          <w:szCs w:val="24"/>
        </w:rPr>
        <w:t xml:space="preserve">: </w:t>
      </w:r>
      <w:r w:rsidR="00A45E59" w:rsidRPr="008A2425">
        <w:rPr>
          <w:rFonts w:ascii="Times New Roman" w:hAnsi="Times New Roman"/>
          <w:sz w:val="24"/>
          <w:szCs w:val="24"/>
          <w:lang w:eastAsia="fr-BE"/>
        </w:rPr>
        <w:t>2020. I. félév</w:t>
      </w:r>
      <w:r w:rsidRPr="008A2425">
        <w:rPr>
          <w:rFonts w:ascii="Times New Roman" w:hAnsi="Times New Roman"/>
          <w:sz w:val="24"/>
          <w:szCs w:val="24"/>
          <w:lang w:eastAsia="fr-BE"/>
        </w:rPr>
        <w:t>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61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3DF985E5" w:rsidR="00933F5D" w:rsidRPr="00933F5D" w:rsidRDefault="00EE692E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9F78C0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1D90BB5B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B11F6">
        <w:rPr>
          <w:rFonts w:ascii="Times New Roman" w:hAnsi="Times New Roman"/>
          <w:b/>
          <w:i/>
          <w:sz w:val="24"/>
          <w:szCs w:val="24"/>
        </w:rPr>
        <w:t>október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0B11F6">
        <w:rPr>
          <w:rFonts w:ascii="Times New Roman" w:hAnsi="Times New Roman"/>
          <w:b/>
          <w:i/>
          <w:sz w:val="24"/>
          <w:szCs w:val="24"/>
        </w:rPr>
        <w:t>8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B11F6">
        <w:rPr>
          <w:rFonts w:ascii="Times New Roman" w:hAnsi="Times New Roman"/>
          <w:b/>
          <w:i/>
          <w:sz w:val="24"/>
          <w:szCs w:val="24"/>
        </w:rPr>
        <w:t>október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11F6">
        <w:rPr>
          <w:rFonts w:ascii="Times New Roman" w:hAnsi="Times New Roman"/>
          <w:b/>
          <w:i/>
          <w:sz w:val="24"/>
          <w:szCs w:val="24"/>
        </w:rPr>
        <w:t>31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61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61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734C06E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491B5D">
        <w:rPr>
          <w:rFonts w:ascii="Times New Roman" w:hAnsi="Times New Roman"/>
          <w:b/>
          <w:noProof/>
          <w:sz w:val="24"/>
          <w:szCs w:val="24"/>
        </w:rPr>
        <w:t>600 000 000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EE692E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2FDE88F5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5A2667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11C17237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491B5D">
        <w:rPr>
          <w:rFonts w:ascii="Times New Roman" w:hAnsi="Times New Roman"/>
          <w:b/>
          <w:sz w:val="24"/>
          <w:szCs w:val="24"/>
        </w:rPr>
        <w:t>50 000 </w:t>
      </w:r>
      <w:proofErr w:type="spellStart"/>
      <w:r w:rsidR="00491B5D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491B5D">
        <w:rPr>
          <w:rFonts w:ascii="Times New Roman" w:hAnsi="Times New Roman"/>
          <w:b/>
          <w:sz w:val="24"/>
          <w:szCs w:val="24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</w:rPr>
        <w:t>HUF</w:t>
      </w:r>
    </w:p>
    <w:p w14:paraId="659158EF" w14:textId="43C1A06E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B81603">
        <w:rPr>
          <w:rFonts w:ascii="Times New Roman" w:hAnsi="Times New Roman"/>
          <w:b/>
          <w:sz w:val="24"/>
          <w:szCs w:val="24"/>
          <w:lang w:eastAsia="fr-BE"/>
        </w:rPr>
        <w:t xml:space="preserve">600 000 </w:t>
      </w:r>
      <w:proofErr w:type="spellStart"/>
      <w:r w:rsidR="00B81603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61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61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61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0B583AE4" w14:textId="77777777" w:rsidR="008A2425" w:rsidRDefault="00F25E88" w:rsidP="008A242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>Az intézkedés célja:</w:t>
      </w:r>
      <w:r w:rsidRPr="00F25E88">
        <w:rPr>
          <w:rFonts w:ascii="Times New Roman" w:hAnsi="Times New Roman"/>
          <w:sz w:val="24"/>
          <w:szCs w:val="24"/>
        </w:rPr>
        <w:t xml:space="preserve"> </w:t>
      </w:r>
    </w:p>
    <w:p w14:paraId="7AE3C13C" w14:textId="52D80296" w:rsidR="008A2425" w:rsidRDefault="00F25E88" w:rsidP="008A242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25E88">
        <w:rPr>
          <w:rFonts w:ascii="Times New Roman" w:hAnsi="Times New Roman"/>
          <w:sz w:val="24"/>
          <w:szCs w:val="24"/>
        </w:rPr>
        <w:t xml:space="preserve">A bűnügyi adat-, információcsere területén a súlyos és szervezett bűnözés elleni küzdelem érdekében az uniós és egyéb releváns ügynökségekkel történő együttműködés céljából IT rendszerek elemeinek fejlesztése: az </w:t>
      </w:r>
      <w:proofErr w:type="spellStart"/>
      <w:r w:rsidRPr="00F25E88">
        <w:rPr>
          <w:rFonts w:ascii="Times New Roman" w:hAnsi="Times New Roman"/>
          <w:sz w:val="24"/>
          <w:szCs w:val="24"/>
        </w:rPr>
        <w:t>interoperabilitás</w:t>
      </w:r>
      <w:proofErr w:type="spellEnd"/>
      <w:r w:rsidRPr="00F25E88">
        <w:rPr>
          <w:rFonts w:ascii="Times New Roman" w:hAnsi="Times New Roman"/>
          <w:sz w:val="24"/>
          <w:szCs w:val="24"/>
        </w:rPr>
        <w:t xml:space="preserve"> javítása a nemzetközi és hazai szakrendszerek közötti adatkapcsolatok kialakításával, új rendszerek létesítése, valamint a meglévő hozzáférések kiterjesztése.</w:t>
      </w:r>
    </w:p>
    <w:p w14:paraId="355542FE" w14:textId="0E790B31" w:rsidR="00F25E88" w:rsidRPr="008A2425" w:rsidRDefault="00F25E88" w:rsidP="008A242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A2425">
        <w:rPr>
          <w:rFonts w:ascii="Times New Roman" w:hAnsi="Times New Roman"/>
          <w:sz w:val="24"/>
          <w:szCs w:val="24"/>
        </w:rPr>
        <w:t>Az intézkedés keretében támogatható fejlesztések egyik kiemelt célja a nemzeti és nemzetközi igazságügyi és rendvédelmi szervek közötti adat-, információáramlás javítása, valamint a biztonságos adat- és információcsere érdekében újszerű, felhasználó-központú megoldás kidolgozása.</w:t>
      </w:r>
    </w:p>
    <w:p w14:paraId="22F7DEDF" w14:textId="77777777" w:rsidR="00F25E88" w:rsidRDefault="00F25E88" w:rsidP="00F25E88">
      <w:pPr>
        <w:pStyle w:val="Default"/>
      </w:pPr>
    </w:p>
    <w:p w14:paraId="1A2DC743" w14:textId="77777777" w:rsidR="00F25E88" w:rsidRPr="00F73D31" w:rsidRDefault="00F25E88" w:rsidP="00F2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D31">
        <w:rPr>
          <w:rFonts w:ascii="Times New Roman" w:hAnsi="Times New Roman"/>
          <w:sz w:val="24"/>
          <w:szCs w:val="24"/>
        </w:rPr>
        <w:t xml:space="preserve">Az intézkedés céljának elérése érdekében elvárás, hogy a nemzetközi adat-, információcserét újszerű, felhasználó-központú megoldás az érintett rendvédelmi </w:t>
      </w:r>
      <w:proofErr w:type="gramStart"/>
      <w:r w:rsidRPr="00F73D31">
        <w:rPr>
          <w:rFonts w:ascii="Times New Roman" w:hAnsi="Times New Roman"/>
          <w:sz w:val="24"/>
          <w:szCs w:val="24"/>
        </w:rPr>
        <w:t>szerv(</w:t>
      </w:r>
      <w:proofErr w:type="spellStart"/>
      <w:proofErr w:type="gramEnd"/>
      <w:r w:rsidRPr="00F73D31">
        <w:rPr>
          <w:rFonts w:ascii="Times New Roman" w:hAnsi="Times New Roman"/>
          <w:sz w:val="24"/>
          <w:szCs w:val="24"/>
        </w:rPr>
        <w:t>ek</w:t>
      </w:r>
      <w:proofErr w:type="spellEnd"/>
      <w:r w:rsidRPr="00F73D31">
        <w:rPr>
          <w:rFonts w:ascii="Times New Roman" w:hAnsi="Times New Roman"/>
          <w:sz w:val="24"/>
          <w:szCs w:val="24"/>
        </w:rPr>
        <w:t>) adat</w:t>
      </w:r>
      <w:r>
        <w:rPr>
          <w:rFonts w:ascii="Times New Roman" w:hAnsi="Times New Roman"/>
          <w:sz w:val="24"/>
          <w:szCs w:val="24"/>
        </w:rPr>
        <w:t>-</w:t>
      </w:r>
      <w:r w:rsidRPr="00F73D31">
        <w:rPr>
          <w:rFonts w:ascii="Times New Roman" w:hAnsi="Times New Roman"/>
          <w:sz w:val="24"/>
          <w:szCs w:val="24"/>
        </w:rPr>
        <w:t>, informáci</w:t>
      </w:r>
      <w:r w:rsidRPr="00F73D31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csere rendszerébe </w:t>
      </w:r>
      <w:r w:rsidRPr="00F73D31">
        <w:rPr>
          <w:rFonts w:ascii="Times New Roman" w:hAnsi="Times New Roman"/>
          <w:sz w:val="24"/>
          <w:szCs w:val="24"/>
        </w:rPr>
        <w:t xml:space="preserve">történő beépítése biztosított legyen. </w:t>
      </w:r>
      <w:r w:rsidRPr="00F73D31" w:rsidDel="00DA377D">
        <w:rPr>
          <w:rFonts w:ascii="Times New Roman" w:hAnsi="Times New Roman"/>
          <w:sz w:val="24"/>
          <w:szCs w:val="24"/>
        </w:rPr>
        <w:t xml:space="preserve"> </w:t>
      </w:r>
    </w:p>
    <w:p w14:paraId="69421C4B" w14:textId="77777777" w:rsidR="00F25E88" w:rsidRPr="00E52146" w:rsidRDefault="00F25E88" w:rsidP="00F25E88">
      <w:pPr>
        <w:pStyle w:val="Default"/>
      </w:pPr>
    </w:p>
    <w:p w14:paraId="284469FA" w14:textId="77777777" w:rsidR="00F25E88" w:rsidRPr="007C0400" w:rsidRDefault="00F25E88" w:rsidP="00F25E88">
      <w:pPr>
        <w:pStyle w:val="Default"/>
        <w:jc w:val="both"/>
        <w:rPr>
          <w:color w:val="auto"/>
        </w:rPr>
      </w:pPr>
      <w:r w:rsidRPr="00A05A7F">
        <w:rPr>
          <w:color w:val="auto"/>
        </w:rPr>
        <w:t xml:space="preserve">IT fejlesztések elsősorban az alábbi szakterületek vonatkozásában tervezhetőek: </w:t>
      </w:r>
    </w:p>
    <w:p w14:paraId="63A2518B" w14:textId="77777777" w:rsidR="00F25E88" w:rsidRPr="004D56A9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r w:rsidRPr="004D56A9">
        <w:rPr>
          <w:color w:val="auto"/>
        </w:rPr>
        <w:t>adatok és információk minőségének, védelmének és biztonságának javítása</w:t>
      </w:r>
      <w:r>
        <w:rPr>
          <w:color w:val="auto"/>
        </w:rPr>
        <w:t>,</w:t>
      </w:r>
      <w:r w:rsidRPr="004D56A9">
        <w:rPr>
          <w:color w:val="auto"/>
        </w:rPr>
        <w:t xml:space="preserve"> </w:t>
      </w:r>
    </w:p>
    <w:p w14:paraId="651F2466" w14:textId="77777777" w:rsidR="00F25E88" w:rsidRPr="00867766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r w:rsidRPr="00867766">
        <w:rPr>
          <w:color w:val="auto"/>
        </w:rPr>
        <w:t>nemzeti és uniós szinten egyablakos informatikai megoldások kialakítása</w:t>
      </w:r>
      <w:r>
        <w:rPr>
          <w:color w:val="auto"/>
        </w:rPr>
        <w:t>,</w:t>
      </w:r>
    </w:p>
    <w:p w14:paraId="76C45443" w14:textId="77777777" w:rsidR="00F25E88" w:rsidRPr="00ED688B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r w:rsidRPr="00ED688B">
        <w:rPr>
          <w:color w:val="auto"/>
        </w:rPr>
        <w:t>egységes üzenetformátum továbbfejlesztése</w:t>
      </w:r>
      <w:r>
        <w:rPr>
          <w:color w:val="auto"/>
        </w:rPr>
        <w:t>,</w:t>
      </w:r>
      <w:r w:rsidRPr="00ED688B">
        <w:rPr>
          <w:color w:val="auto"/>
        </w:rPr>
        <w:t xml:space="preserve"> </w:t>
      </w:r>
    </w:p>
    <w:p w14:paraId="64E18E2A" w14:textId="77777777" w:rsidR="00F25E88" w:rsidRPr="00ED688B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r w:rsidRPr="00ED688B">
        <w:rPr>
          <w:color w:val="auto"/>
        </w:rPr>
        <w:t>az uniós ügynökségek irányába történő információs potenciál javítása</w:t>
      </w:r>
      <w:r>
        <w:rPr>
          <w:color w:val="auto"/>
        </w:rPr>
        <w:t>,</w:t>
      </w:r>
    </w:p>
    <w:p w14:paraId="3C17DCF7" w14:textId="77777777" w:rsidR="00F25E88" w:rsidRPr="00ED688B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proofErr w:type="spellStart"/>
      <w:r w:rsidRPr="00ED688B">
        <w:rPr>
          <w:color w:val="auto"/>
        </w:rPr>
        <w:t>prümi</w:t>
      </w:r>
      <w:proofErr w:type="spellEnd"/>
      <w:r w:rsidRPr="00ED688B">
        <w:rPr>
          <w:color w:val="auto"/>
        </w:rPr>
        <w:t xml:space="preserve"> határozat alapú lehetőségek teljes körű kihasználása</w:t>
      </w:r>
      <w:r>
        <w:rPr>
          <w:color w:val="auto"/>
        </w:rPr>
        <w:t>,</w:t>
      </w:r>
    </w:p>
    <w:p w14:paraId="7A84C54C" w14:textId="77777777" w:rsidR="00F25E88" w:rsidRPr="00ED688B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r w:rsidRPr="00ED688B">
        <w:rPr>
          <w:color w:val="auto"/>
        </w:rPr>
        <w:t>bűnügyi nyilvántartások megosztásának javítása</w:t>
      </w:r>
      <w:r>
        <w:rPr>
          <w:color w:val="auto"/>
        </w:rPr>
        <w:t>,</w:t>
      </w:r>
    </w:p>
    <w:p w14:paraId="5291DF15" w14:textId="77777777" w:rsidR="00F25E88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r w:rsidRPr="00ED688B">
        <w:rPr>
          <w:color w:val="auto"/>
        </w:rPr>
        <w:t xml:space="preserve">nemzetközi információcsere egyszerűsítése és felgyorsítása, </w:t>
      </w:r>
      <w:r w:rsidRPr="00103067">
        <w:rPr>
          <w:color w:val="auto"/>
        </w:rPr>
        <w:t>automatizálás</w:t>
      </w:r>
      <w:r w:rsidRPr="002D3A07">
        <w:rPr>
          <w:color w:val="auto"/>
        </w:rPr>
        <w:t>a</w:t>
      </w:r>
      <w:r>
        <w:rPr>
          <w:color w:val="auto"/>
        </w:rPr>
        <w:t>,</w:t>
      </w:r>
    </w:p>
    <w:p w14:paraId="412806D0" w14:textId="77777777" w:rsidR="00F25E88" w:rsidRPr="00ED688B" w:rsidRDefault="00F25E88" w:rsidP="00F25E88">
      <w:pPr>
        <w:pStyle w:val="Default"/>
        <w:numPr>
          <w:ilvl w:val="0"/>
          <w:numId w:val="59"/>
        </w:numPr>
        <w:ind w:left="0" w:firstLine="0"/>
        <w:jc w:val="both"/>
        <w:rPr>
          <w:color w:val="auto"/>
        </w:rPr>
      </w:pPr>
      <w:proofErr w:type="spellStart"/>
      <w:r w:rsidRPr="00CB432E">
        <w:t>ut</w:t>
      </w:r>
      <w:r>
        <w:t>asnyilvántartási</w:t>
      </w:r>
      <w:proofErr w:type="spellEnd"/>
      <w:r>
        <w:t xml:space="preserve"> adatállomány kezeléséért felelős egység (</w:t>
      </w:r>
      <w:proofErr w:type="gramStart"/>
      <w:r>
        <w:t>PIU</w:t>
      </w:r>
      <w:r>
        <w:rPr>
          <w:rStyle w:val="Lbjegyzet-hivatkozs"/>
        </w:rPr>
        <w:footnoteReference w:id="3"/>
      </w:r>
      <w:r>
        <w:t>)</w:t>
      </w:r>
      <w:proofErr w:type="gramEnd"/>
      <w:r>
        <w:t xml:space="preserve"> fejlesztése</w:t>
      </w:r>
      <w:r>
        <w:rPr>
          <w:color w:val="auto"/>
        </w:rPr>
        <w:t>.</w:t>
      </w:r>
      <w:r w:rsidRPr="00ED688B">
        <w:rPr>
          <w:color w:val="auto"/>
        </w:rPr>
        <w:t xml:space="preserve"> </w:t>
      </w:r>
    </w:p>
    <w:p w14:paraId="48FED9A4" w14:textId="77777777" w:rsidR="0032087D" w:rsidRPr="006352B7" w:rsidRDefault="0032087D" w:rsidP="00F25E88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5B4839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B4839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256F9011" w14:textId="72197A5B" w:rsidR="00F25E88" w:rsidRPr="006266CF" w:rsidRDefault="00F25E88" w:rsidP="008A2425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6266CF">
        <w:rPr>
          <w:color w:val="auto"/>
        </w:rPr>
        <w:t>a fejlesztés előkészítéséhez, tervezéséhez és megvalósításához kapcsolódó tevéken</w:t>
      </w:r>
      <w:r w:rsidRPr="006266CF">
        <w:rPr>
          <w:color w:val="auto"/>
        </w:rPr>
        <w:t>y</w:t>
      </w:r>
      <w:r w:rsidRPr="006266CF">
        <w:rPr>
          <w:color w:val="auto"/>
        </w:rPr>
        <w:t>ségek (pl. tanulmánykészítés, szakértői tevékenység, díjköteles adatbázisok használ</w:t>
      </w:r>
      <w:r w:rsidRPr="006266CF">
        <w:rPr>
          <w:color w:val="auto"/>
        </w:rPr>
        <w:t>a</w:t>
      </w:r>
      <w:r w:rsidRPr="006266CF">
        <w:rPr>
          <w:color w:val="auto"/>
        </w:rPr>
        <w:t>ta, kommunikációs tevékenység keretében fordítás, tolmácsolás);</w:t>
      </w:r>
    </w:p>
    <w:p w14:paraId="43F6986B" w14:textId="4F208A17" w:rsidR="00F25E88" w:rsidRDefault="00F25E88" w:rsidP="008A2425">
      <w:pPr>
        <w:pStyle w:val="Default"/>
        <w:numPr>
          <w:ilvl w:val="0"/>
          <w:numId w:val="37"/>
        </w:numPr>
        <w:jc w:val="both"/>
      </w:pPr>
      <w:r w:rsidRPr="006266CF">
        <w:rPr>
          <w:color w:val="auto"/>
        </w:rPr>
        <w:lastRenderedPageBreak/>
        <w:t>IT technikai eszközök és szoftverek beszerzése/fejlesztése szakértői támogatás igén</w:t>
      </w:r>
      <w:r w:rsidRPr="006266CF">
        <w:rPr>
          <w:color w:val="auto"/>
        </w:rPr>
        <w:t>y</w:t>
      </w:r>
      <w:r w:rsidRPr="006266CF">
        <w:rPr>
          <w:color w:val="auto"/>
        </w:rPr>
        <w:t>bevételével, valamint az eszközök működtetését célzó oktatásokon történő</w:t>
      </w:r>
      <w:r w:rsidRPr="00CF3290">
        <w:t xml:space="preserve"> részvéte</w:t>
      </w:r>
      <w:r w:rsidRPr="00CF3290">
        <w:t>l</w:t>
      </w:r>
      <w:r>
        <w:t>lel.</w:t>
      </w: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F25E88" w:rsidRPr="003003F5" w14:paraId="05166A19" w14:textId="77777777" w:rsidTr="00184B8E">
        <w:tc>
          <w:tcPr>
            <w:tcW w:w="5791" w:type="dxa"/>
            <w:shd w:val="clear" w:color="auto" w:fill="auto"/>
          </w:tcPr>
          <w:p w14:paraId="4890F510" w14:textId="1AB6093D" w:rsidR="00F25E88" w:rsidRPr="003003F5" w:rsidRDefault="00F25E8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C16497D" w14:textId="548D233B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E0E4913" w14:textId="458D5F82" w:rsidR="00F25E88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F25E88" w:rsidRPr="003003F5" w14:paraId="4826EAFC" w14:textId="77777777" w:rsidTr="00611102">
        <w:tc>
          <w:tcPr>
            <w:tcW w:w="5791" w:type="dxa"/>
            <w:shd w:val="clear" w:color="auto" w:fill="auto"/>
            <w:vAlign w:val="bottom"/>
          </w:tcPr>
          <w:p w14:paraId="47F0EEDD" w14:textId="5B95C63B" w:rsidR="00F25E88" w:rsidRPr="003003F5" w:rsidRDefault="00F25E8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Fejlesztett/beszerzett IT eszközök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1086D74" w14:textId="1BE2B4A1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B5BB476" w14:textId="63384D3E" w:rsidR="00F25E88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30</w:t>
            </w:r>
          </w:p>
        </w:tc>
      </w:tr>
      <w:tr w:rsidR="00F25E88" w:rsidRPr="003003F5" w14:paraId="7AA0F726" w14:textId="77777777" w:rsidTr="00611102">
        <w:tc>
          <w:tcPr>
            <w:tcW w:w="5791" w:type="dxa"/>
            <w:shd w:val="clear" w:color="auto" w:fill="auto"/>
            <w:vAlign w:val="bottom"/>
          </w:tcPr>
          <w:p w14:paraId="18119BDE" w14:textId="01F82BAE" w:rsidR="00F25E88" w:rsidRPr="003003F5" w:rsidRDefault="00F25E8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Új végpontok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69550B6" w14:textId="28B051C2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94657BE" w14:textId="0F3D4504" w:rsidR="00F25E88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20</w:t>
            </w:r>
          </w:p>
        </w:tc>
      </w:tr>
      <w:tr w:rsidR="00F25E88" w:rsidRPr="003003F5" w14:paraId="64288742" w14:textId="77777777" w:rsidTr="00611102">
        <w:tc>
          <w:tcPr>
            <w:tcW w:w="5791" w:type="dxa"/>
            <w:shd w:val="clear" w:color="auto" w:fill="auto"/>
            <w:vAlign w:val="bottom"/>
          </w:tcPr>
          <w:p w14:paraId="484E3536" w14:textId="4A41E861" w:rsidR="00F25E88" w:rsidRPr="003003F5" w:rsidRDefault="00F25E8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Kialakított SIENA</w:t>
            </w:r>
            <w:r w:rsidRPr="00407726">
              <w:rPr>
                <w:rStyle w:val="Lbjegyzet-hivatkozs"/>
                <w:rFonts w:ascii="Times New Roman" w:hAnsi="Times New Roman"/>
                <w:sz w:val="24"/>
                <w:szCs w:val="24"/>
                <w:lang w:eastAsia="hu-HU"/>
              </w:rPr>
              <w:footnoteReference w:id="4"/>
            </w: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végpontok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B5C2AA9" w14:textId="11C1DB31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9DD91A1" w14:textId="5502A717" w:rsidR="00F25E88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F25E88" w:rsidRPr="003003F5" w14:paraId="206FBB5A" w14:textId="77777777" w:rsidTr="00611102">
        <w:tc>
          <w:tcPr>
            <w:tcW w:w="5791" w:type="dxa"/>
            <w:shd w:val="clear" w:color="auto" w:fill="auto"/>
            <w:vAlign w:val="bottom"/>
          </w:tcPr>
          <w:p w14:paraId="01D9CA8B" w14:textId="61D0F159" w:rsidR="00F25E88" w:rsidRPr="003003F5" w:rsidRDefault="00F25E8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Hozzájárulási jelentések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B3BE8A0" w14:textId="27C7D4ED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4580975" w14:textId="384049A9" w:rsidR="00F25E88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2 000</w:t>
            </w:r>
          </w:p>
        </w:tc>
      </w:tr>
      <w:tr w:rsidR="00F25E88" w:rsidRPr="003003F5" w14:paraId="58E42C53" w14:textId="77777777" w:rsidTr="00611102">
        <w:tc>
          <w:tcPr>
            <w:tcW w:w="5791" w:type="dxa"/>
            <w:shd w:val="clear" w:color="auto" w:fill="auto"/>
            <w:vAlign w:val="bottom"/>
          </w:tcPr>
          <w:p w14:paraId="7E3683EF" w14:textId="39A19DBD" w:rsidR="00F25E88" w:rsidRPr="00B91284" w:rsidRDefault="00F25E8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Új on-line eléréssel érintett nemzetközi adatbázisok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46BB4015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551C66A3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F25E88" w:rsidRPr="003003F5" w14:paraId="6017D85E" w14:textId="77777777" w:rsidTr="00611102">
        <w:tc>
          <w:tcPr>
            <w:tcW w:w="5791" w:type="dxa"/>
            <w:shd w:val="clear" w:color="auto" w:fill="auto"/>
            <w:vAlign w:val="bottom"/>
          </w:tcPr>
          <w:p w14:paraId="53A8B9BA" w14:textId="680805DD" w:rsidR="00F25E88" w:rsidRPr="00B91284" w:rsidRDefault="00F25E8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Fejlesztett nemzeti </w:t>
            </w:r>
            <w:proofErr w:type="spellStart"/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Utasadat-Információs</w:t>
            </w:r>
            <w:proofErr w:type="spellEnd"/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Központok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2585A049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76418E8D" w:rsidR="00F25E88" w:rsidRPr="003003F5" w:rsidRDefault="00F25E8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61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lastRenderedPageBreak/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</w:t>
      </w:r>
      <w:r>
        <w:lastRenderedPageBreak/>
        <w:t>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61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62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2A19A5D1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 xml:space="preserve">Belügyminisztérium </w:t>
      </w:r>
    </w:p>
    <w:p w14:paraId="34FB03AA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Külgazdasági és Külügyminisztérium;</w:t>
      </w:r>
    </w:p>
    <w:p w14:paraId="1CC86834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Igazságügyi Minisztérium;</w:t>
      </w:r>
    </w:p>
    <w:p w14:paraId="4F524564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Alkotmányvédelmi Hivatal;</w:t>
      </w:r>
    </w:p>
    <w:p w14:paraId="223CF781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Bevándorlási és Menekültügyi Hivatal;</w:t>
      </w:r>
    </w:p>
    <w:p w14:paraId="17EFD21A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ügyészség;</w:t>
      </w:r>
    </w:p>
    <w:p w14:paraId="665BF8CC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Nemzetbiztonsági Szakszolgálat;</w:t>
      </w:r>
    </w:p>
    <w:p w14:paraId="7164A3A4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Nemzeti Adó- és Vámhivatal;</w:t>
      </w:r>
    </w:p>
    <w:p w14:paraId="3CE6BC3F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Nemzeti Közszolgálati Egyetem;</w:t>
      </w:r>
    </w:p>
    <w:p w14:paraId="7AD0857D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Nemzeti Védelmi Szolgálat;</w:t>
      </w:r>
    </w:p>
    <w:p w14:paraId="2C9E0CFD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általános rendőrségi feladatok ellátására létrehozott szerv (a továbbiakban: Rendő</w:t>
      </w:r>
      <w:r w:rsidRPr="00A5713A">
        <w:rPr>
          <w:rFonts w:ascii="Times New Roman" w:hAnsi="Times New Roman"/>
          <w:sz w:val="24"/>
          <w:szCs w:val="24"/>
        </w:rPr>
        <w:t>r</w:t>
      </w:r>
      <w:r w:rsidRPr="00A5713A">
        <w:rPr>
          <w:rFonts w:ascii="Times New Roman" w:hAnsi="Times New Roman"/>
          <w:sz w:val="24"/>
          <w:szCs w:val="24"/>
        </w:rPr>
        <w:t>ség);</w:t>
      </w:r>
    </w:p>
    <w:p w14:paraId="4665140F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hivatásos katasztrófavédelmi szervek;</w:t>
      </w:r>
    </w:p>
    <w:p w14:paraId="2EBF6E99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Terrorelhárítási Információs és Bűnügyi Elemző Központ;</w:t>
      </w:r>
    </w:p>
    <w:p w14:paraId="0102B3AF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Terrorelhárítási Központ;</w:t>
      </w:r>
    </w:p>
    <w:p w14:paraId="5FB3FAB8" w14:textId="77777777" w:rsidR="00F25E88" w:rsidRPr="00A5713A" w:rsidRDefault="00F25E88" w:rsidP="00F25E88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3A">
        <w:rPr>
          <w:rFonts w:ascii="Times New Roman" w:hAnsi="Times New Roman"/>
          <w:sz w:val="24"/>
          <w:szCs w:val="24"/>
        </w:rPr>
        <w:t>Magyar Honvédség.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lastRenderedPageBreak/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7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9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0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11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3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62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62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62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62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62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62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4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D94EE5C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EE692E" w:rsidRPr="00EE692E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5F6AE76B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EE692E">
        <w:rPr>
          <w:rFonts w:ascii="Times New Roman" w:hAnsi="Times New Roman"/>
          <w:sz w:val="24"/>
          <w:szCs w:val="24"/>
        </w:rPr>
        <w:t>útmutató</w:t>
      </w:r>
      <w:r w:rsidR="00EE692E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4F1F976D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EE692E">
        <w:rPr>
          <w:rFonts w:ascii="Times New Roman" w:hAnsi="Times New Roman"/>
          <w:sz w:val="24"/>
          <w:szCs w:val="24"/>
        </w:rPr>
        <w:t>útmutató</w:t>
      </w:r>
      <w:r w:rsidR="00EE692E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49CE98BE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EE692E">
        <w:rPr>
          <w:rFonts w:ascii="Times New Roman" w:hAnsi="Times New Roman"/>
          <w:sz w:val="24"/>
          <w:szCs w:val="24"/>
        </w:rPr>
        <w:t>útmutató</w:t>
      </w:r>
      <w:r w:rsidR="00EE692E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62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5EDAE195" w14:textId="0E0CF529" w:rsidR="0003203E" w:rsidRPr="000F779B" w:rsidRDefault="0003203E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62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62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6F12410A" w:rsidR="0032087D" w:rsidRPr="00D9380C" w:rsidRDefault="006B7DE7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63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63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5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63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63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63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63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63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63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63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63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64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64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64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64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64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64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64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802E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02E4B">
        <w:rPr>
          <w:rFonts w:ascii="Times New Roman" w:hAnsi="Times New Roman"/>
          <w:b w:val="0"/>
          <w:color w:val="auto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802E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6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0A9A020A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EE692E">
        <w:rPr>
          <w:rFonts w:ascii="Times New Roman" w:hAnsi="Times New Roman"/>
          <w:sz w:val="24"/>
          <w:szCs w:val="24"/>
        </w:rPr>
        <w:t>útmutató</w:t>
      </w:r>
      <w:r w:rsidR="00EE692E">
        <w:rPr>
          <w:rFonts w:ascii="Times New Roman" w:hAnsi="Times New Roman"/>
          <w:sz w:val="24"/>
          <w:szCs w:val="24"/>
        </w:rPr>
        <w:t xml:space="preserve">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EE692E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64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64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64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65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65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65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65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65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65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65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65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D33DA" w:rsidRPr="00905E2F" w14:paraId="51A38EB9" w14:textId="77777777" w:rsidTr="00611102">
        <w:tc>
          <w:tcPr>
            <w:tcW w:w="3510" w:type="dxa"/>
          </w:tcPr>
          <w:p w14:paraId="37D89FD2" w14:textId="3D33104E" w:rsidR="006D33DA" w:rsidRPr="00A4376F" w:rsidRDefault="006D33DA" w:rsidP="00C16C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2631" w:type="dxa"/>
            <w:vAlign w:val="center"/>
          </w:tcPr>
          <w:p w14:paraId="0C781C06" w14:textId="6EA3D3DE" w:rsidR="006D33DA" w:rsidRPr="00802E4B" w:rsidRDefault="006D33DA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4B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06D7E091" w:rsidR="006D33DA" w:rsidRPr="00905E2F" w:rsidRDefault="006D33DA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projekt keretében </w:t>
            </w:r>
            <w:proofErr w:type="gramStart"/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végrehajtott  tevékenységek</w:t>
            </w:r>
            <w:proofErr w:type="gramEnd"/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eredményeként létrejött tanu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mányok, jelentések száma.</w:t>
            </w:r>
          </w:p>
        </w:tc>
      </w:tr>
      <w:tr w:rsidR="006D33DA" w:rsidRPr="00905E2F" w14:paraId="6DD6E9ED" w14:textId="77777777" w:rsidTr="00611102">
        <w:tc>
          <w:tcPr>
            <w:tcW w:w="3510" w:type="dxa"/>
            <w:vAlign w:val="bottom"/>
          </w:tcPr>
          <w:p w14:paraId="2223BCB9" w14:textId="6B054318" w:rsidR="006D33DA" w:rsidRPr="00A4376F" w:rsidRDefault="006D33DA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Fejlesztett/beszerzett IT eszközök száma </w:t>
            </w:r>
          </w:p>
        </w:tc>
        <w:tc>
          <w:tcPr>
            <w:tcW w:w="2631" w:type="dxa"/>
          </w:tcPr>
          <w:p w14:paraId="500BCF89" w14:textId="4189A7B6" w:rsidR="006D33DA" w:rsidRPr="00802E4B" w:rsidRDefault="006D33DA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4B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0259BCD" w14:textId="48BCDCDA" w:rsidR="006D33DA" w:rsidRPr="00A4376F" w:rsidRDefault="006D33DA" w:rsidP="00F61DB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beszerzett, fejlesztett azon súlyos és szervezett, határon á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nyúló bűncselekményekhez kapcsolódó felderítést, nyomozást segítő szoftver, hardver eszközök száma, amelyek egyedi bekerülési értéke terv szerinti érté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csökkenés alapján egy összegben nem számolható el a vonatkozó jogszabályok szerint és értékük meghaladja a </w:t>
            </w:r>
            <w:r w:rsidR="003E1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nettó 200.000 Ft-os értékhatárt, </w:t>
            </w:r>
            <w:r w:rsidR="003E1174" w:rsidRPr="003E1174">
              <w:rPr>
                <w:rFonts w:ascii="Times New Roman" w:hAnsi="Times New Roman"/>
                <w:color w:val="000000"/>
                <w:sz w:val="24"/>
                <w:szCs w:val="24"/>
              </w:rPr>
              <w:t>beleértve az adat-, információáramlás javítása, valamint a biztonságos adat- és informáci</w:t>
            </w:r>
            <w:r w:rsidR="003E1174" w:rsidRPr="003E1174">
              <w:rPr>
                <w:rFonts w:ascii="Times New Roman" w:hAnsi="Times New Roman"/>
                <w:color w:val="000000"/>
                <w:sz w:val="24"/>
                <w:szCs w:val="24"/>
              </w:rPr>
              <w:t>ó</w:t>
            </w:r>
            <w:r w:rsidR="003E1174" w:rsidRPr="003E1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csere érdekében </w:t>
            </w:r>
            <w:r w:rsidR="003E1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fejlesztett, beszerzett </w:t>
            </w:r>
            <w:r w:rsidR="003E1174" w:rsidRPr="003E1174">
              <w:rPr>
                <w:rFonts w:ascii="Times New Roman" w:hAnsi="Times New Roman"/>
                <w:color w:val="000000"/>
                <w:sz w:val="24"/>
                <w:szCs w:val="24"/>
              </w:rPr>
              <w:t>újszerű, felhasználó-központú megoldást is</w:t>
            </w:r>
            <w:r w:rsidR="003E11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D33DA" w:rsidRPr="00905E2F" w14:paraId="02893AE5" w14:textId="77777777" w:rsidTr="00611102">
        <w:tc>
          <w:tcPr>
            <w:tcW w:w="3510" w:type="dxa"/>
            <w:vAlign w:val="bottom"/>
          </w:tcPr>
          <w:p w14:paraId="68D91D02" w14:textId="43EBE9DA" w:rsidR="006D33DA" w:rsidRPr="00A4376F" w:rsidRDefault="006D33DA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Új végpontok száma</w:t>
            </w:r>
          </w:p>
        </w:tc>
        <w:tc>
          <w:tcPr>
            <w:tcW w:w="2631" w:type="dxa"/>
          </w:tcPr>
          <w:p w14:paraId="6C3AD5ED" w14:textId="58F3D3A6" w:rsidR="006D33DA" w:rsidRPr="00802E4B" w:rsidRDefault="006D33DA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4B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82DDD22" w14:textId="48C86DEC" w:rsidR="006D33DA" w:rsidRPr="00A4376F" w:rsidRDefault="006D33DA" w:rsidP="0073681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projekt keretében beszerzett azon új munkaállomások száma, amelyet az </w:t>
            </w:r>
            <w:proofErr w:type="spellStart"/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EUROPOL-lal</w:t>
            </w:r>
            <w:proofErr w:type="spellEnd"/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folytatott rendészeti adatcsere céljából használnak.</w:t>
            </w:r>
          </w:p>
        </w:tc>
      </w:tr>
      <w:tr w:rsidR="006D33DA" w:rsidRPr="00905E2F" w14:paraId="68BD7385" w14:textId="77777777" w:rsidTr="00611102">
        <w:tc>
          <w:tcPr>
            <w:tcW w:w="3510" w:type="dxa"/>
            <w:vAlign w:val="bottom"/>
          </w:tcPr>
          <w:p w14:paraId="65A518FD" w14:textId="550C1601" w:rsidR="006D33DA" w:rsidRPr="00A4376F" w:rsidRDefault="006D33DA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Kialakított SIENA</w:t>
            </w:r>
            <w:r w:rsidRPr="00407726">
              <w:rPr>
                <w:rStyle w:val="Lbjegyzet-hivatkozs"/>
                <w:rFonts w:ascii="Times New Roman" w:hAnsi="Times New Roman"/>
                <w:sz w:val="24"/>
                <w:szCs w:val="24"/>
                <w:lang w:eastAsia="hu-HU"/>
              </w:rPr>
              <w:footnoteReference w:id="17"/>
            </w: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végpontok száma</w:t>
            </w:r>
          </w:p>
        </w:tc>
        <w:tc>
          <w:tcPr>
            <w:tcW w:w="2631" w:type="dxa"/>
          </w:tcPr>
          <w:p w14:paraId="09BC8BCA" w14:textId="1D0B5BAD" w:rsidR="006D33DA" w:rsidRPr="00802E4B" w:rsidRDefault="006D33DA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4B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14B81C0" w14:textId="1AA447EA" w:rsidR="006D33DA" w:rsidRPr="00A4376F" w:rsidRDefault="006D33DA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újonnan beszerzett, a SIENA hálózat bővítését célzó mu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D33DA">
              <w:rPr>
                <w:rFonts w:ascii="Times New Roman" w:hAnsi="Times New Roman"/>
                <w:color w:val="000000"/>
                <w:sz w:val="24"/>
                <w:szCs w:val="24"/>
              </w:rPr>
              <w:t>kaállomások száma, amelyet SIENA adatcsere céljából használnak.</w:t>
            </w:r>
          </w:p>
        </w:tc>
      </w:tr>
      <w:tr w:rsidR="006D33DA" w:rsidRPr="00905E2F" w14:paraId="7489BAAA" w14:textId="77777777" w:rsidTr="00611102">
        <w:tc>
          <w:tcPr>
            <w:tcW w:w="3510" w:type="dxa"/>
            <w:vAlign w:val="bottom"/>
          </w:tcPr>
          <w:p w14:paraId="5F39C998" w14:textId="0DB3DB84" w:rsidR="006D33DA" w:rsidRPr="00A4376F" w:rsidRDefault="006D33DA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Hozzájárulási jelentések száma</w:t>
            </w:r>
          </w:p>
        </w:tc>
        <w:tc>
          <w:tcPr>
            <w:tcW w:w="2631" w:type="dxa"/>
          </w:tcPr>
          <w:p w14:paraId="46F7A6BB" w14:textId="4C02F1E8" w:rsidR="006D33DA" w:rsidRPr="00802E4B" w:rsidRDefault="006D33DA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4B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45A6446D" w:rsidR="006D33DA" w:rsidRPr="00905E2F" w:rsidRDefault="0073681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15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beszerzett eszközökön az AWF hozzájárulási jelentéseinek száma a beszerzést követő 3 évben.</w:t>
            </w:r>
          </w:p>
        </w:tc>
      </w:tr>
      <w:tr w:rsidR="006D33DA" w:rsidRPr="00905E2F" w14:paraId="4CBA9AFE" w14:textId="77777777" w:rsidTr="00611102">
        <w:tc>
          <w:tcPr>
            <w:tcW w:w="3510" w:type="dxa"/>
            <w:vAlign w:val="bottom"/>
          </w:tcPr>
          <w:p w14:paraId="62CB03B7" w14:textId="3606C72C" w:rsidR="006D33DA" w:rsidRPr="00A4376F" w:rsidRDefault="006D33DA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Új on-line eléréssel érintett ne</w:t>
            </w: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m</w:t>
            </w: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zetközi adatbázisok száma</w:t>
            </w:r>
          </w:p>
        </w:tc>
        <w:tc>
          <w:tcPr>
            <w:tcW w:w="2631" w:type="dxa"/>
          </w:tcPr>
          <w:p w14:paraId="215A7C58" w14:textId="35F716F8" w:rsidR="006D33DA" w:rsidRPr="00802E4B" w:rsidRDefault="006D33DA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db</w:t>
            </w:r>
          </w:p>
        </w:tc>
        <w:tc>
          <w:tcPr>
            <w:tcW w:w="8001" w:type="dxa"/>
            <w:vAlign w:val="center"/>
          </w:tcPr>
          <w:p w14:paraId="2760EEEC" w14:textId="791C884E" w:rsidR="006D33DA" w:rsidRPr="00905E2F" w:rsidRDefault="00736815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815">
              <w:rPr>
                <w:rFonts w:ascii="Times New Roman" w:hAnsi="Times New Roman"/>
                <w:color w:val="000000"/>
                <w:sz w:val="24"/>
                <w:szCs w:val="24"/>
              </w:rPr>
              <w:t>A súlyos és szervezett, határon átnyúló bűnügyi adat és információcserét szolg</w:t>
            </w:r>
            <w:r w:rsidRPr="00736815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 w:rsidRPr="007368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ló, a projekt keretében kialakított, újonnan létesített adatkapcsolattal érintett nemzetközi szakrendszerek/adatbázisok száma.</w:t>
            </w:r>
          </w:p>
        </w:tc>
      </w:tr>
      <w:tr w:rsidR="006D33DA" w:rsidRPr="00905E2F" w14:paraId="38A18533" w14:textId="77777777" w:rsidTr="00611102">
        <w:tc>
          <w:tcPr>
            <w:tcW w:w="3510" w:type="dxa"/>
            <w:vAlign w:val="bottom"/>
          </w:tcPr>
          <w:p w14:paraId="2DD8D226" w14:textId="36995AD9" w:rsidR="006D33DA" w:rsidRPr="00A4376F" w:rsidRDefault="006D33DA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Fejlesztett nemzeti </w:t>
            </w:r>
            <w:proofErr w:type="spellStart"/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>Utasadat-Információs</w:t>
            </w:r>
            <w:proofErr w:type="spellEnd"/>
            <w:r w:rsidRPr="004077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Központok száma</w:t>
            </w:r>
          </w:p>
        </w:tc>
        <w:tc>
          <w:tcPr>
            <w:tcW w:w="2631" w:type="dxa"/>
          </w:tcPr>
          <w:p w14:paraId="7202C768" w14:textId="1C2BC996" w:rsidR="006D33DA" w:rsidRPr="00EB1CBB" w:rsidRDefault="006D33DA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CBB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6FA8C52F" w14:textId="2622B3E7" w:rsidR="006D33DA" w:rsidRPr="00EB1CBB" w:rsidRDefault="00EB1CBB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 utas-nyilvántartási adatállomány összeállításáért, kezeléséért és hatékony feldolgozásáért felelős terrorizmus elleni feladatokat ellátó, a projekt keretében továbbfejlesztett központok száma.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65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EB1CBB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EB1CB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EB1CBB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129F0D01" w:rsidR="0032087D" w:rsidRPr="00EB1CBB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EB1CBB">
        <w:rPr>
          <w:rFonts w:ascii="Times New Roman" w:hAnsi="Times New Roman"/>
          <w:sz w:val="24"/>
          <w:szCs w:val="24"/>
        </w:rPr>
        <w:t>ramétereinek bemutatása</w:t>
      </w:r>
      <w:r w:rsidR="00CF782D" w:rsidRPr="00EB1CBB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8A2425" w:rsidRDefault="008A2425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8A2425" w:rsidRDefault="008A2425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8A2425" w:rsidRDefault="008A24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8A2425" w:rsidRPr="00AA01FE" w:rsidRDefault="008A2425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E692E">
      <w:rPr>
        <w:rFonts w:ascii="Times New Roman" w:hAnsi="Times New Roman"/>
        <w:b/>
        <w:bCs/>
        <w:noProof/>
      </w:rPr>
      <w:t>47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E692E">
      <w:rPr>
        <w:rFonts w:ascii="Times New Roman" w:hAnsi="Times New Roman"/>
        <w:b/>
        <w:bCs/>
        <w:noProof/>
      </w:rPr>
      <w:t>83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8A2425" w:rsidRDefault="008A242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8A2425" w:rsidRDefault="008A2425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8A2425" w:rsidRDefault="008A2425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8A2425" w:rsidRPr="009A2523" w:rsidRDefault="008A242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E692E">
      <w:rPr>
        <w:rStyle w:val="Oldalszm"/>
        <w:noProof/>
      </w:rPr>
      <w:t>53</w:t>
    </w:r>
    <w:r>
      <w:rPr>
        <w:rStyle w:val="Oldalszm"/>
      </w:rPr>
      <w:fldChar w:fldCharType="end"/>
    </w:r>
  </w:p>
  <w:p w14:paraId="39E8D495" w14:textId="77777777" w:rsidR="008A2425" w:rsidRDefault="008A242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8A2425" w:rsidRPr="009A2523" w:rsidRDefault="008A242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8A2425" w:rsidRPr="00A60846" w:rsidRDefault="008A242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8A2425" w:rsidRPr="00C06243" w:rsidRDefault="008A2425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8A2425" w:rsidRDefault="008A2425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8A2425" w:rsidRPr="009A2523" w:rsidRDefault="008A242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E692E">
      <w:rPr>
        <w:rStyle w:val="Oldalszm"/>
        <w:noProof/>
      </w:rPr>
      <w:t>83</w:t>
    </w:r>
    <w:r>
      <w:rPr>
        <w:rStyle w:val="Oldalszm"/>
      </w:rPr>
      <w:fldChar w:fldCharType="end"/>
    </w:r>
  </w:p>
  <w:p w14:paraId="20F1BA34" w14:textId="77777777" w:rsidR="008A2425" w:rsidRDefault="008A242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8A2425" w:rsidRPr="009A2523" w:rsidRDefault="008A242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8A2425" w:rsidRPr="00A60846" w:rsidRDefault="008A242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8A2425" w:rsidRPr="00C06243" w:rsidRDefault="008A2425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8A2425" w:rsidRDefault="008A2425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8A2425" w:rsidRDefault="008A2425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8A2425" w:rsidRPr="00653CFA" w:rsidRDefault="008A242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8A2425" w:rsidRPr="00653CFA" w:rsidRDefault="008A242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8A2425" w:rsidRPr="00653CFA" w:rsidRDefault="008A242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8A2425" w:rsidRPr="00653CFA" w:rsidRDefault="008A242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8A2425" w:rsidRPr="00653CFA" w:rsidRDefault="008A242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8A2425" w:rsidRPr="00653CFA" w:rsidRDefault="008A242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8A2425" w:rsidRPr="00653CFA" w:rsidRDefault="008A2425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8A2425" w:rsidRPr="00653CFA" w:rsidRDefault="008A2425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379A3FC4" w14:textId="77777777" w:rsidR="008A2425" w:rsidRDefault="008A2425" w:rsidP="00F25E88">
      <w:pPr>
        <w:pStyle w:val="Lbjegyzetszveg"/>
      </w:pPr>
      <w:r w:rsidRPr="000A2FC5">
        <w:rPr>
          <w:rStyle w:val="Lbjegyzet-hivatkozs"/>
        </w:rPr>
        <w:footnoteRef/>
      </w:r>
      <w:r w:rsidRPr="008969B8">
        <w:t xml:space="preserve"> </w:t>
      </w:r>
      <w:proofErr w:type="spellStart"/>
      <w:r w:rsidRPr="008969B8">
        <w:rPr>
          <w:rFonts w:ascii="Times New Roman" w:hAnsi="Times New Roman"/>
        </w:rPr>
        <w:t>Passenger</w:t>
      </w:r>
      <w:proofErr w:type="spellEnd"/>
      <w:r w:rsidRPr="008969B8">
        <w:rPr>
          <w:rFonts w:ascii="Times New Roman" w:hAnsi="Times New Roman"/>
        </w:rPr>
        <w:t xml:space="preserve"> </w:t>
      </w:r>
      <w:proofErr w:type="spellStart"/>
      <w:r w:rsidRPr="008969B8">
        <w:rPr>
          <w:rFonts w:ascii="Times New Roman" w:hAnsi="Times New Roman"/>
        </w:rPr>
        <w:t>Information</w:t>
      </w:r>
      <w:proofErr w:type="spellEnd"/>
      <w:r w:rsidRPr="008969B8">
        <w:rPr>
          <w:rFonts w:ascii="Times New Roman" w:hAnsi="Times New Roman"/>
        </w:rPr>
        <w:t xml:space="preserve"> Unit</w:t>
      </w:r>
      <w:r w:rsidRPr="000A2FC5">
        <w:rPr>
          <w:rFonts w:ascii="Times New Roman" w:hAnsi="Times New Roman"/>
        </w:rPr>
        <w:t xml:space="preserve"> = </w:t>
      </w:r>
      <w:proofErr w:type="spellStart"/>
      <w:r w:rsidRPr="000A2FC5">
        <w:rPr>
          <w:rFonts w:ascii="Times New Roman" w:hAnsi="Times New Roman"/>
        </w:rPr>
        <w:t>utasnyilvántartási</w:t>
      </w:r>
      <w:proofErr w:type="spellEnd"/>
      <w:r w:rsidRPr="000A2FC5">
        <w:rPr>
          <w:rFonts w:ascii="Times New Roman" w:hAnsi="Times New Roman"/>
        </w:rPr>
        <w:t xml:space="preserve"> adatállomány kezeléséért felelős egység</w:t>
      </w:r>
    </w:p>
  </w:footnote>
  <w:footnote w:id="4">
    <w:p w14:paraId="5D7CA48F" w14:textId="77777777" w:rsidR="008A2425" w:rsidRDefault="008A24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CD3FA8">
        <w:rPr>
          <w:rFonts w:ascii="Times New Roman" w:hAnsi="Times New Roman"/>
        </w:rPr>
        <w:t>Secure</w:t>
      </w:r>
      <w:proofErr w:type="spellEnd"/>
      <w:r w:rsidRPr="00CD3FA8">
        <w:rPr>
          <w:rFonts w:ascii="Times New Roman" w:hAnsi="Times New Roman"/>
        </w:rPr>
        <w:t xml:space="preserve"> </w:t>
      </w:r>
      <w:proofErr w:type="spellStart"/>
      <w:r w:rsidRPr="00CD3FA8">
        <w:rPr>
          <w:rFonts w:ascii="Times New Roman" w:hAnsi="Times New Roman"/>
        </w:rPr>
        <w:t>Information</w:t>
      </w:r>
      <w:proofErr w:type="spellEnd"/>
      <w:r w:rsidRPr="00CD3FA8">
        <w:rPr>
          <w:rFonts w:ascii="Times New Roman" w:hAnsi="Times New Roman"/>
        </w:rPr>
        <w:t xml:space="preserve"> Exchange Network </w:t>
      </w:r>
      <w:proofErr w:type="spellStart"/>
      <w:r w:rsidRPr="00CD3FA8">
        <w:rPr>
          <w:rFonts w:ascii="Times New Roman" w:hAnsi="Times New Roman"/>
        </w:rPr>
        <w:t>Application</w:t>
      </w:r>
      <w:proofErr w:type="spellEnd"/>
      <w:r w:rsidRPr="00CD3FA8">
        <w:rPr>
          <w:rFonts w:ascii="Times New Roman" w:hAnsi="Times New Roman"/>
        </w:rPr>
        <w:t xml:space="preserve"> = Biztonságos Információcsere Hálózati Alkalmazás</w:t>
      </w:r>
    </w:p>
  </w:footnote>
  <w:footnote w:id="5">
    <w:p w14:paraId="21E63F92" w14:textId="77777777" w:rsidR="008A2425" w:rsidRPr="00601539" w:rsidRDefault="008A2425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6">
    <w:p w14:paraId="192197A9" w14:textId="77777777" w:rsidR="008A2425" w:rsidRDefault="008A2425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7">
    <w:p w14:paraId="38C3FD25" w14:textId="4600C9DD" w:rsidR="008A2425" w:rsidRPr="00601539" w:rsidRDefault="008A242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8">
    <w:p w14:paraId="51D34A9C" w14:textId="77777777" w:rsidR="008A2425" w:rsidRPr="00D960FD" w:rsidRDefault="008A242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9">
    <w:p w14:paraId="31E2182B" w14:textId="77777777" w:rsidR="008A2425" w:rsidRPr="00BB142E" w:rsidRDefault="008A242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10">
    <w:p w14:paraId="49C5E6C3" w14:textId="77777777" w:rsidR="008A2425" w:rsidRPr="00BB142E" w:rsidRDefault="008A242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11">
    <w:p w14:paraId="4832A912" w14:textId="77777777" w:rsidR="008A2425" w:rsidRPr="00D960FD" w:rsidRDefault="008A242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2">
    <w:p w14:paraId="5A8CF666" w14:textId="77777777" w:rsidR="008A2425" w:rsidRPr="00BB142E" w:rsidRDefault="008A242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3">
    <w:p w14:paraId="6CD57F3E" w14:textId="77777777" w:rsidR="008A2425" w:rsidRPr="00BB142E" w:rsidRDefault="008A242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4">
    <w:p w14:paraId="557F65B5" w14:textId="67B74590" w:rsidR="008A2425" w:rsidRPr="0061151C" w:rsidRDefault="008A2425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5">
    <w:p w14:paraId="136DB815" w14:textId="77777777" w:rsidR="008A2425" w:rsidRDefault="008A2425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6">
    <w:p w14:paraId="733BC39C" w14:textId="47CA29C5" w:rsidR="008A2425" w:rsidRDefault="008A2425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7">
    <w:p w14:paraId="4BB4F61C" w14:textId="77777777" w:rsidR="008A2425" w:rsidRDefault="008A2425" w:rsidP="006D33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CD3FA8">
        <w:rPr>
          <w:rFonts w:ascii="Times New Roman" w:hAnsi="Times New Roman"/>
        </w:rPr>
        <w:t>Secure</w:t>
      </w:r>
      <w:proofErr w:type="spellEnd"/>
      <w:r w:rsidRPr="00CD3FA8">
        <w:rPr>
          <w:rFonts w:ascii="Times New Roman" w:hAnsi="Times New Roman"/>
        </w:rPr>
        <w:t xml:space="preserve"> </w:t>
      </w:r>
      <w:proofErr w:type="spellStart"/>
      <w:r w:rsidRPr="00CD3FA8">
        <w:rPr>
          <w:rFonts w:ascii="Times New Roman" w:hAnsi="Times New Roman"/>
        </w:rPr>
        <w:t>Information</w:t>
      </w:r>
      <w:proofErr w:type="spellEnd"/>
      <w:r w:rsidRPr="00CD3FA8">
        <w:rPr>
          <w:rFonts w:ascii="Times New Roman" w:hAnsi="Times New Roman"/>
        </w:rPr>
        <w:t xml:space="preserve"> Exchange Network </w:t>
      </w:r>
      <w:proofErr w:type="spellStart"/>
      <w:r w:rsidRPr="00CD3FA8">
        <w:rPr>
          <w:rFonts w:ascii="Times New Roman" w:hAnsi="Times New Roman"/>
        </w:rPr>
        <w:t>Application</w:t>
      </w:r>
      <w:proofErr w:type="spellEnd"/>
      <w:r w:rsidRPr="00CD3FA8">
        <w:rPr>
          <w:rFonts w:ascii="Times New Roman" w:hAnsi="Times New Roman"/>
        </w:rPr>
        <w:t xml:space="preserve"> = Biztonságos Információcsere Hálózati Alkalmazás</w:t>
      </w:r>
    </w:p>
  </w:footnote>
  <w:footnote w:id="18">
    <w:p w14:paraId="1EEBECB9" w14:textId="77777777" w:rsidR="008A2425" w:rsidRPr="00B84EE2" w:rsidRDefault="008A2425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9">
    <w:p w14:paraId="5BE53C76" w14:textId="77777777" w:rsidR="008A2425" w:rsidRPr="00412EC4" w:rsidRDefault="008A2425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8A2425" w:rsidRDefault="00EE692E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8A2425" w:rsidRDefault="00EE692E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8A2425" w:rsidRDefault="00EE692E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8A2425" w:rsidRDefault="00EE692E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8A2425" w:rsidRPr="00B47A6C" w:rsidRDefault="00EE692E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A2425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8A2425" w:rsidRPr="00FA3890" w:rsidRDefault="00EE692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8A2425" w:rsidRDefault="008A2425" w:rsidP="00AD0BE0">
    <w:pPr>
      <w:pStyle w:val="lfej"/>
    </w:pPr>
  </w:p>
  <w:p w14:paraId="1809E7B6" w14:textId="77777777" w:rsidR="008A2425" w:rsidRDefault="008A2425" w:rsidP="00AD0BE0">
    <w:pPr>
      <w:pStyle w:val="lfej"/>
    </w:pPr>
  </w:p>
  <w:p w14:paraId="4F0AFA3F" w14:textId="77777777" w:rsidR="008A2425" w:rsidRDefault="008A242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8A2425" w:rsidRPr="00C06243" w:rsidRDefault="008A2425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8A2425" w:rsidRDefault="00EE692E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8A2425" w:rsidRPr="00B47A6C" w:rsidRDefault="00EE692E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A2425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8A2425" w:rsidRPr="00FA3890" w:rsidRDefault="00EE692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8A2425" w:rsidRPr="00FA3890" w:rsidRDefault="008A242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8A2425" w:rsidRDefault="008A2425" w:rsidP="00AD0BE0">
    <w:pPr>
      <w:pStyle w:val="lfej"/>
    </w:pPr>
  </w:p>
  <w:p w14:paraId="2F7FC325" w14:textId="77777777" w:rsidR="008A2425" w:rsidRDefault="008A2425" w:rsidP="00AD0BE0">
    <w:pPr>
      <w:pStyle w:val="lfej"/>
    </w:pPr>
  </w:p>
  <w:p w14:paraId="536E3E9A" w14:textId="77777777" w:rsidR="008A2425" w:rsidRDefault="008A242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8A2425" w:rsidRPr="00C06243" w:rsidRDefault="008A2425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C6C90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1428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D2F7D"/>
    <w:multiLevelType w:val="hybridMultilevel"/>
    <w:tmpl w:val="FCCE126C"/>
    <w:lvl w:ilvl="0" w:tplc="F61642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54000"/>
    <w:multiLevelType w:val="hybridMultilevel"/>
    <w:tmpl w:val="0B68F42A"/>
    <w:lvl w:ilvl="0" w:tplc="0F0A32AE">
      <w:start w:val="1"/>
      <w:numFmt w:val="lowerLetter"/>
      <w:lvlText w:val="%1)"/>
      <w:lvlJc w:val="left"/>
      <w:pPr>
        <w:ind w:left="928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0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18"/>
  </w:num>
  <w:num w:numId="4">
    <w:abstractNumId w:val="29"/>
  </w:num>
  <w:num w:numId="5">
    <w:abstractNumId w:val="14"/>
  </w:num>
  <w:num w:numId="6">
    <w:abstractNumId w:val="53"/>
  </w:num>
  <w:num w:numId="7">
    <w:abstractNumId w:val="44"/>
  </w:num>
  <w:num w:numId="8">
    <w:abstractNumId w:val="3"/>
  </w:num>
  <w:num w:numId="9">
    <w:abstractNumId w:val="33"/>
  </w:num>
  <w:num w:numId="10">
    <w:abstractNumId w:val="60"/>
  </w:num>
  <w:num w:numId="11">
    <w:abstractNumId w:val="16"/>
  </w:num>
  <w:num w:numId="12">
    <w:abstractNumId w:val="39"/>
  </w:num>
  <w:num w:numId="13">
    <w:abstractNumId w:val="23"/>
  </w:num>
  <w:num w:numId="14">
    <w:abstractNumId w:val="7"/>
  </w:num>
  <w:num w:numId="15">
    <w:abstractNumId w:val="1"/>
  </w:num>
  <w:num w:numId="16">
    <w:abstractNumId w:val="57"/>
  </w:num>
  <w:num w:numId="17">
    <w:abstractNumId w:val="38"/>
  </w:num>
  <w:num w:numId="18">
    <w:abstractNumId w:val="55"/>
  </w:num>
  <w:num w:numId="19">
    <w:abstractNumId w:val="9"/>
  </w:num>
  <w:num w:numId="20">
    <w:abstractNumId w:val="45"/>
  </w:num>
  <w:num w:numId="21">
    <w:abstractNumId w:val="35"/>
  </w:num>
  <w:num w:numId="22">
    <w:abstractNumId w:val="34"/>
  </w:num>
  <w:num w:numId="23">
    <w:abstractNumId w:val="49"/>
  </w:num>
  <w:num w:numId="24">
    <w:abstractNumId w:val="32"/>
  </w:num>
  <w:num w:numId="25">
    <w:abstractNumId w:val="52"/>
  </w:num>
  <w:num w:numId="26">
    <w:abstractNumId w:val="20"/>
  </w:num>
  <w:num w:numId="27">
    <w:abstractNumId w:val="28"/>
  </w:num>
  <w:num w:numId="28">
    <w:abstractNumId w:val="6"/>
  </w:num>
  <w:num w:numId="29">
    <w:abstractNumId w:val="13"/>
  </w:num>
  <w:num w:numId="30">
    <w:abstractNumId w:val="0"/>
  </w:num>
  <w:num w:numId="31">
    <w:abstractNumId w:val="51"/>
  </w:num>
  <w:num w:numId="32">
    <w:abstractNumId w:val="25"/>
  </w:num>
  <w:num w:numId="33">
    <w:abstractNumId w:val="47"/>
  </w:num>
  <w:num w:numId="34">
    <w:abstractNumId w:val="11"/>
  </w:num>
  <w:num w:numId="35">
    <w:abstractNumId w:val="54"/>
  </w:num>
  <w:num w:numId="36">
    <w:abstractNumId w:val="27"/>
  </w:num>
  <w:num w:numId="37">
    <w:abstractNumId w:val="36"/>
  </w:num>
  <w:num w:numId="38">
    <w:abstractNumId w:val="42"/>
  </w:num>
  <w:num w:numId="39">
    <w:abstractNumId w:val="21"/>
  </w:num>
  <w:num w:numId="40">
    <w:abstractNumId w:val="17"/>
  </w:num>
  <w:num w:numId="41">
    <w:abstractNumId w:val="12"/>
  </w:num>
  <w:num w:numId="42">
    <w:abstractNumId w:val="48"/>
  </w:num>
  <w:num w:numId="43">
    <w:abstractNumId w:val="58"/>
  </w:num>
  <w:num w:numId="44">
    <w:abstractNumId w:val="37"/>
  </w:num>
  <w:num w:numId="45">
    <w:abstractNumId w:val="10"/>
  </w:num>
  <w:num w:numId="46">
    <w:abstractNumId w:val="26"/>
  </w:num>
  <w:num w:numId="47">
    <w:abstractNumId w:val="56"/>
  </w:num>
  <w:num w:numId="48">
    <w:abstractNumId w:val="8"/>
  </w:num>
  <w:num w:numId="49">
    <w:abstractNumId w:val="59"/>
  </w:num>
  <w:num w:numId="50">
    <w:abstractNumId w:val="43"/>
  </w:num>
  <w:num w:numId="51">
    <w:abstractNumId w:val="2"/>
  </w:num>
  <w:num w:numId="52">
    <w:abstractNumId w:val="5"/>
  </w:num>
  <w:num w:numId="53">
    <w:abstractNumId w:val="41"/>
  </w:num>
  <w:num w:numId="54">
    <w:abstractNumId w:val="46"/>
  </w:num>
  <w:num w:numId="55">
    <w:abstractNumId w:val="30"/>
  </w:num>
  <w:num w:numId="56">
    <w:abstractNumId w:val="19"/>
  </w:num>
  <w:num w:numId="57">
    <w:abstractNumId w:val="50"/>
  </w:num>
  <w:num w:numId="58">
    <w:abstractNumId w:val="24"/>
  </w:num>
  <w:num w:numId="59">
    <w:abstractNumId w:val="4"/>
  </w:num>
  <w:num w:numId="60">
    <w:abstractNumId w:val="22"/>
  </w:num>
  <w:num w:numId="61">
    <w:abstractNumId w:val="1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03E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1F6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1174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016D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1B5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0B12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2667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4839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67CE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102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B6044"/>
    <w:rsid w:val="006B7DE7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33DA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681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2E4B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2425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8C0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72E"/>
    <w:rsid w:val="00B80B9C"/>
    <w:rsid w:val="00B80EDE"/>
    <w:rsid w:val="00B81603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CF782D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2036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B7EC2"/>
    <w:rsid w:val="00DC011E"/>
    <w:rsid w:val="00DC0C2D"/>
    <w:rsid w:val="00DC10C5"/>
    <w:rsid w:val="00DC1217"/>
    <w:rsid w:val="00DC19D3"/>
    <w:rsid w:val="00DC1C5C"/>
    <w:rsid w:val="00DC3746"/>
    <w:rsid w:val="00DC4A64"/>
    <w:rsid w:val="00DC70DE"/>
    <w:rsid w:val="00DC721B"/>
    <w:rsid w:val="00DC789F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948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1CBB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92E"/>
    <w:rsid w:val="00EE6B2F"/>
    <w:rsid w:val="00EE7324"/>
    <w:rsid w:val="00EF0C4E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5E88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DBE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4D7A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51D-A073-436E-BFA5-7F8C67B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83</Pages>
  <Words>19454</Words>
  <Characters>134239</Characters>
  <Application>Microsoft Office Word</Application>
  <DocSecurity>0</DocSecurity>
  <Lines>1118</Lines>
  <Paragraphs>306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153387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24</cp:revision>
  <cp:lastPrinted>2019-04-01T13:42:00Z</cp:lastPrinted>
  <dcterms:created xsi:type="dcterms:W3CDTF">2019-06-12T09:05:00Z</dcterms:created>
  <dcterms:modified xsi:type="dcterms:W3CDTF">2019-06-17T16:03:00Z</dcterms:modified>
</cp:coreProperties>
</file>