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4C413828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7635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2B7635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2B7635">
        <w:rPr>
          <w:rFonts w:ascii="Times New Roman" w:hAnsi="Times New Roman"/>
          <w:b/>
          <w:bCs/>
          <w:caps/>
          <w:sz w:val="28"/>
          <w:szCs w:val="28"/>
        </w:rPr>
        <w:t>5.3.3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0B98F24A" w:rsidR="0032087D" w:rsidRPr="0061151C" w:rsidRDefault="002B7635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nyílt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87D"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0F1BF7DB" w:rsidR="0032087D" w:rsidRPr="00F37A3D" w:rsidRDefault="002B7635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635">
        <w:rPr>
          <w:rFonts w:ascii="Times New Roman" w:hAnsi="Times New Roman"/>
          <w:b/>
          <w:bCs/>
          <w:sz w:val="28"/>
          <w:szCs w:val="28"/>
        </w:rPr>
        <w:t>Szakmai továbbképzések és szakmai idegen nyelvi képzések a súlyos és szervezett, határon átnyúló bűnözés elleni küzdelem keretében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23AC6E5A" w14:textId="77777777" w:rsidR="00452359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659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_Toc11685659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4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29124126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60" w:history="1">
            <w:r w:rsidR="00452359" w:rsidRPr="00365D4C">
              <w:rPr>
                <w:rStyle w:val="Hiperhivatkozs"/>
              </w:rPr>
              <w:t>I.1. Általános információk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_Toc11685660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</w:t>
            </w:r>
            <w:r w:rsidR="00452359">
              <w:rPr>
                <w:webHidden/>
              </w:rPr>
              <w:fldChar w:fldCharType="end"/>
            </w:r>
          </w:hyperlink>
        </w:p>
        <w:p w14:paraId="3C5A0919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61" w:history="1">
            <w:r w:rsidR="00452359" w:rsidRPr="00365D4C">
              <w:rPr>
                <w:rStyle w:val="Hiperhivatkozs"/>
              </w:rPr>
              <w:t>I.1.1. A támogatási kérelmek benyújtásának módja, helye és ideje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_Toc11685661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</w:t>
            </w:r>
            <w:r w:rsidR="00452359">
              <w:rPr>
                <w:webHidden/>
              </w:rPr>
              <w:fldChar w:fldCharType="end"/>
            </w:r>
          </w:hyperlink>
        </w:p>
        <w:p w14:paraId="651BEA0F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62" w:history="1">
            <w:r w:rsidR="00452359" w:rsidRPr="00365D4C">
              <w:rPr>
                <w:rStyle w:val="Hiperhivatkozs"/>
              </w:rPr>
              <w:t>I.1.2. A támogatást igénylők tájékoztatása, értesítése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_Toc11685662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</w:t>
            </w:r>
            <w:r w:rsidR="00452359">
              <w:rPr>
                <w:webHidden/>
              </w:rPr>
              <w:fldChar w:fldCharType="end"/>
            </w:r>
          </w:hyperlink>
        </w:p>
        <w:p w14:paraId="7AEF2374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63" w:history="1">
            <w:r w:rsidR="00452359" w:rsidRPr="00365D4C">
              <w:rPr>
                <w:rStyle w:val="Hiperhivatkozs"/>
              </w:rPr>
              <w:t>I.2. Pénzügyi információk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_Toc11685663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6</w:t>
            </w:r>
            <w:r w:rsidR="00452359">
              <w:rPr>
                <w:webHidden/>
              </w:rPr>
              <w:fldChar w:fldCharType="end"/>
            </w:r>
          </w:hyperlink>
        </w:p>
        <w:p w14:paraId="43300975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64" w:history="1">
            <w:r w:rsidR="00452359" w:rsidRPr="00365D4C">
              <w:rPr>
                <w:rStyle w:val="Hiperhivatkozs"/>
              </w:rPr>
              <w:t>I.2.1 Általános információk, a finanszírozás módja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_Toc11685664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6</w:t>
            </w:r>
            <w:r w:rsidR="00452359">
              <w:rPr>
                <w:webHidden/>
              </w:rPr>
              <w:fldChar w:fldCharType="end"/>
            </w:r>
          </w:hyperlink>
        </w:p>
        <w:p w14:paraId="24E7B222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65" w:history="1">
            <w:r w:rsidR="00452359" w:rsidRPr="00365D4C">
              <w:rPr>
                <w:rStyle w:val="Hiperhivatkozs"/>
              </w:rPr>
              <w:t>I.3. Célcsoport/ egyéb közreműködők és támogatható intézkedések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_Toc11685665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7</w:t>
            </w:r>
            <w:r w:rsidR="00452359">
              <w:rPr>
                <w:webHidden/>
              </w:rPr>
              <w:fldChar w:fldCharType="end"/>
            </w:r>
          </w:hyperlink>
        </w:p>
        <w:p w14:paraId="67A99A04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66" w:history="1">
            <w:r w:rsidR="00452359" w:rsidRPr="00365D4C">
              <w:rPr>
                <w:rStyle w:val="Hiperhivatkozs"/>
              </w:rPr>
              <w:t>I.3.1 Célcsoport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_Toc11685666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7</w:t>
            </w:r>
            <w:r w:rsidR="00452359">
              <w:rPr>
                <w:webHidden/>
              </w:rPr>
              <w:fldChar w:fldCharType="end"/>
            </w:r>
          </w:hyperlink>
        </w:p>
        <w:p w14:paraId="70867938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67" w:history="1">
            <w:r w:rsidR="00452359" w:rsidRPr="00365D4C">
              <w:rPr>
                <w:rStyle w:val="Hiperhivatkozs"/>
              </w:rPr>
              <w:t>I.3.2. Támogatható intézkedés ismertetése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_Toc11685667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7</w:t>
            </w:r>
            <w:r w:rsidR="00452359">
              <w:rPr>
                <w:webHidden/>
              </w:rPr>
              <w:fldChar w:fldCharType="end"/>
            </w:r>
          </w:hyperlink>
        </w:p>
        <w:p w14:paraId="71E55D84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68" w:history="1">
            <w:r w:rsidR="00452359" w:rsidRPr="00365D4C">
              <w:rPr>
                <w:rStyle w:val="Hiperhivatkozs"/>
              </w:rPr>
              <w:t>I. 4. A BBA-ra vonatkozó főbb jogszabályok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_Toc11685668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9</w:t>
            </w:r>
            <w:r w:rsidR="00452359">
              <w:rPr>
                <w:webHidden/>
              </w:rPr>
              <w:fldChar w:fldCharType="end"/>
            </w:r>
          </w:hyperlink>
        </w:p>
        <w:p w14:paraId="07417AAE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69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_Toc11685669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13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760C2413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70" w:history="1">
            <w:r w:rsidR="00452359" w:rsidRPr="00365D4C">
              <w:rPr>
                <w:rStyle w:val="Hiperhivatkozs"/>
              </w:rPr>
              <w:t>II.1. Jogszabályi előírásoknak való megfelelőség vizsgálata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_Toc11685670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13</w:t>
            </w:r>
            <w:r w:rsidR="00452359">
              <w:rPr>
                <w:webHidden/>
              </w:rPr>
              <w:fldChar w:fldCharType="end"/>
            </w:r>
          </w:hyperlink>
        </w:p>
        <w:p w14:paraId="4AD0D5F4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71" w:history="1">
            <w:r w:rsidR="00452359" w:rsidRPr="00365D4C">
              <w:rPr>
                <w:rStyle w:val="Hiperhivatkozs"/>
              </w:rPr>
              <w:t>II.2. Gazdasági és pénzügyi alkalmasság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_Toc11685671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18</w:t>
            </w:r>
            <w:r w:rsidR="00452359">
              <w:rPr>
                <w:webHidden/>
              </w:rPr>
              <w:fldChar w:fldCharType="end"/>
            </w:r>
          </w:hyperlink>
        </w:p>
        <w:p w14:paraId="48ACBE97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72" w:history="1">
            <w:r w:rsidR="00452359" w:rsidRPr="00365D4C">
              <w:rPr>
                <w:rStyle w:val="Hiperhivatkozs"/>
              </w:rPr>
              <w:t>II 3. Partner bevonása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_Toc11685672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18</w:t>
            </w:r>
            <w:r w:rsidR="00452359">
              <w:rPr>
                <w:webHidden/>
              </w:rPr>
              <w:fldChar w:fldCharType="end"/>
            </w:r>
          </w:hyperlink>
        </w:p>
        <w:p w14:paraId="2618959A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73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_Toc11685673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19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182FFA42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74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_Toc11685674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20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03A06A21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75" w:history="1">
            <w:r w:rsidR="00452359" w:rsidRPr="00365D4C">
              <w:rPr>
                <w:rStyle w:val="Hiperhivatkozs"/>
              </w:rPr>
              <w:t>IV.1. Előlegre vonatkozó szabályok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_Toc11685675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20</w:t>
            </w:r>
            <w:r w:rsidR="00452359">
              <w:rPr>
                <w:webHidden/>
              </w:rPr>
              <w:fldChar w:fldCharType="end"/>
            </w:r>
          </w:hyperlink>
        </w:p>
        <w:p w14:paraId="3C1437A6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76" w:history="1">
            <w:r w:rsidR="00452359" w:rsidRPr="00365D4C">
              <w:rPr>
                <w:rStyle w:val="Hiperhivatkozs"/>
              </w:rPr>
              <w:t>IV.2. Az elszámolhatóság általános feltételei: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_Toc11685676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20</w:t>
            </w:r>
            <w:r w:rsidR="00452359">
              <w:rPr>
                <w:webHidden/>
              </w:rPr>
              <w:fldChar w:fldCharType="end"/>
            </w:r>
          </w:hyperlink>
        </w:p>
        <w:p w14:paraId="6EA7B5F7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77" w:history="1">
            <w:r w:rsidR="00452359" w:rsidRPr="00365D4C">
              <w:rPr>
                <w:rStyle w:val="Hiperhivatkozs"/>
              </w:rPr>
              <w:t>IV.3. Az elszámolható költségek köre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_Toc11685677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24</w:t>
            </w:r>
            <w:r w:rsidR="00452359">
              <w:rPr>
                <w:webHidden/>
              </w:rPr>
              <w:fldChar w:fldCharType="end"/>
            </w:r>
          </w:hyperlink>
        </w:p>
        <w:p w14:paraId="32FCBCB1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78" w:history="1">
            <w:r w:rsidR="00452359" w:rsidRPr="00365D4C">
              <w:rPr>
                <w:rStyle w:val="Hiperhivatkozs"/>
              </w:rPr>
              <w:t>IV.3.1. Projekt előkészítés költségei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_Toc11685678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25</w:t>
            </w:r>
            <w:r w:rsidR="00452359">
              <w:rPr>
                <w:webHidden/>
              </w:rPr>
              <w:fldChar w:fldCharType="end"/>
            </w:r>
          </w:hyperlink>
        </w:p>
        <w:p w14:paraId="24DFA4CC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79" w:history="1">
            <w:r w:rsidR="00452359" w:rsidRPr="00365D4C">
              <w:rPr>
                <w:rStyle w:val="Hiperhivatkozs"/>
              </w:rPr>
              <w:t>IV.3.2. Beruházáshoz kapcsolódó költségek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_Toc11685679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26</w:t>
            </w:r>
            <w:r w:rsidR="00452359">
              <w:rPr>
                <w:webHidden/>
              </w:rPr>
              <w:fldChar w:fldCharType="end"/>
            </w:r>
          </w:hyperlink>
        </w:p>
        <w:p w14:paraId="32C1FF6D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80" w:history="1">
            <w:r w:rsidR="00452359" w:rsidRPr="00365D4C">
              <w:rPr>
                <w:rStyle w:val="Hiperhivatkozs"/>
              </w:rPr>
              <w:t>IV.3.3. Szakmai megvalósításhoz kapcsolódó szolgáltatások költségei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_Toc11685680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29</w:t>
            </w:r>
            <w:r w:rsidR="00452359">
              <w:rPr>
                <w:webHidden/>
              </w:rPr>
              <w:fldChar w:fldCharType="end"/>
            </w:r>
          </w:hyperlink>
        </w:p>
        <w:p w14:paraId="5770BFDA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81" w:history="1">
            <w:r w:rsidR="00452359" w:rsidRPr="00365D4C">
              <w:rPr>
                <w:rStyle w:val="Hiperhivatkozs"/>
              </w:rPr>
              <w:t>IV.3.4. Szakmai megvalósításában közreműködők költségei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_Toc11685681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31</w:t>
            </w:r>
            <w:r w:rsidR="00452359">
              <w:rPr>
                <w:webHidden/>
              </w:rPr>
              <w:fldChar w:fldCharType="end"/>
            </w:r>
          </w:hyperlink>
        </w:p>
        <w:p w14:paraId="1B7D046F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82" w:history="1">
            <w:r w:rsidR="00452359" w:rsidRPr="00365D4C">
              <w:rPr>
                <w:rStyle w:val="Hiperhivatkozs"/>
              </w:rPr>
              <w:t>IV.3.5</w:t>
            </w:r>
            <w:r w:rsidR="00452359" w:rsidRPr="00365D4C">
              <w:rPr>
                <w:rStyle w:val="Hiperhivatkozs"/>
                <w:lang w:eastAsia="hu-HU"/>
              </w:rPr>
              <w:t>. Szakmai megvalósításhoz kapcsolódó egyéb költségek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_Toc11685682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34</w:t>
            </w:r>
            <w:r w:rsidR="00452359">
              <w:rPr>
                <w:webHidden/>
              </w:rPr>
              <w:fldChar w:fldCharType="end"/>
            </w:r>
          </w:hyperlink>
        </w:p>
        <w:p w14:paraId="261FE1EE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83" w:history="1">
            <w:r w:rsidR="00452359" w:rsidRPr="00365D4C">
              <w:rPr>
                <w:rStyle w:val="Hiperhivatkozs"/>
              </w:rPr>
              <w:t>IV.3.6</w:t>
            </w:r>
            <w:r w:rsidR="00452359" w:rsidRPr="00365D4C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_Toc11685683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34</w:t>
            </w:r>
            <w:r w:rsidR="00452359">
              <w:rPr>
                <w:webHidden/>
              </w:rPr>
              <w:fldChar w:fldCharType="end"/>
            </w:r>
          </w:hyperlink>
        </w:p>
        <w:p w14:paraId="302B2581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84" w:history="1">
            <w:r w:rsidR="00452359" w:rsidRPr="00365D4C">
              <w:rPr>
                <w:rStyle w:val="Hiperhivatkozs"/>
              </w:rPr>
              <w:t>IV.3.7. Projektmenedzsment költségek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_Toc11685684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34</w:t>
            </w:r>
            <w:r w:rsidR="00452359">
              <w:rPr>
                <w:webHidden/>
              </w:rPr>
              <w:fldChar w:fldCharType="end"/>
            </w:r>
          </w:hyperlink>
        </w:p>
        <w:p w14:paraId="024A88A1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85" w:history="1">
            <w:r w:rsidR="00452359" w:rsidRPr="00365D4C">
              <w:rPr>
                <w:rStyle w:val="Hiperhivatkozs"/>
              </w:rPr>
              <w:t>IV.3.8. Közvetett költség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_Toc11685685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35</w:t>
            </w:r>
            <w:r w:rsidR="00452359">
              <w:rPr>
                <w:webHidden/>
              </w:rPr>
              <w:fldChar w:fldCharType="end"/>
            </w:r>
          </w:hyperlink>
        </w:p>
        <w:p w14:paraId="006835E6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86" w:history="1">
            <w:r w:rsidR="00452359" w:rsidRPr="00365D4C">
              <w:rPr>
                <w:rStyle w:val="Hiperhivatkozs"/>
              </w:rPr>
              <w:t>IV.4. A projekt végrehajtás további szabályai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_Toc11685686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36</w:t>
            </w:r>
            <w:r w:rsidR="00452359">
              <w:rPr>
                <w:webHidden/>
              </w:rPr>
              <w:fldChar w:fldCharType="end"/>
            </w:r>
          </w:hyperlink>
        </w:p>
        <w:p w14:paraId="38E86EE1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87" w:history="1">
            <w:r w:rsidR="00452359" w:rsidRPr="00365D4C">
              <w:rPr>
                <w:rStyle w:val="Hiperhivatkozs"/>
              </w:rPr>
              <w:t>IV.5. Nem elszámolható költségek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_Toc11685687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36</w:t>
            </w:r>
            <w:r w:rsidR="00452359">
              <w:rPr>
                <w:webHidden/>
              </w:rPr>
              <w:fldChar w:fldCharType="end"/>
            </w:r>
          </w:hyperlink>
        </w:p>
        <w:p w14:paraId="47F292A9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88" w:history="1">
            <w:r w:rsidR="00452359" w:rsidRPr="00365D4C">
              <w:rPr>
                <w:rStyle w:val="Hiperhivatkozs"/>
              </w:rPr>
              <w:t>IV.6. Bevételek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_Toc11685688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37</w:t>
            </w:r>
            <w:r w:rsidR="00452359">
              <w:rPr>
                <w:webHidden/>
              </w:rPr>
              <w:fldChar w:fldCharType="end"/>
            </w:r>
          </w:hyperlink>
        </w:p>
        <w:p w14:paraId="3FF140AD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89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_Toc11685689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38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254AFA2D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0" w:history="1">
            <w:r w:rsidR="00452359" w:rsidRPr="00365D4C">
              <w:rPr>
                <w:rStyle w:val="Hiperhivatkozs"/>
              </w:rPr>
              <w:t>V.1 Értékelési szempontrendszer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_Toc11685690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38</w:t>
            </w:r>
            <w:r w:rsidR="00452359">
              <w:rPr>
                <w:webHidden/>
              </w:rPr>
              <w:fldChar w:fldCharType="end"/>
            </w:r>
          </w:hyperlink>
        </w:p>
        <w:p w14:paraId="486C5535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1" w:history="1">
            <w:r w:rsidR="00452359" w:rsidRPr="00365D4C">
              <w:rPr>
                <w:rStyle w:val="Hiperhivatkozs"/>
              </w:rPr>
              <w:t>V.2 Nem támogatható a pályázat, amennyiben: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_Toc11685691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45</w:t>
            </w:r>
            <w:r w:rsidR="00452359">
              <w:rPr>
                <w:webHidden/>
              </w:rPr>
              <w:fldChar w:fldCharType="end"/>
            </w:r>
          </w:hyperlink>
        </w:p>
        <w:p w14:paraId="7F0DA951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2" w:history="1">
            <w:r w:rsidR="00452359" w:rsidRPr="00365D4C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_Toc11685692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46</w:t>
            </w:r>
            <w:r w:rsidR="00452359">
              <w:rPr>
                <w:webHidden/>
              </w:rPr>
              <w:fldChar w:fldCharType="end"/>
            </w:r>
          </w:hyperlink>
        </w:p>
        <w:p w14:paraId="4A258B2D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3" w:history="1">
            <w:r w:rsidR="00452359" w:rsidRPr="00365D4C">
              <w:rPr>
                <w:rStyle w:val="Hiperhivatkozs"/>
              </w:rPr>
              <w:t>V.4. Hiánypótlás, tisztázó kérdés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_Toc11685693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46</w:t>
            </w:r>
            <w:r w:rsidR="00452359">
              <w:rPr>
                <w:webHidden/>
              </w:rPr>
              <w:fldChar w:fldCharType="end"/>
            </w:r>
          </w:hyperlink>
        </w:p>
        <w:p w14:paraId="1D5915D7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694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_Toc11685694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47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7DA7A06F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5" w:history="1">
            <w:r w:rsidR="00452359" w:rsidRPr="00365D4C">
              <w:rPr>
                <w:rStyle w:val="Hiperhivatkozs"/>
              </w:rPr>
              <w:t>VI.1. Ellenőrzési tevékenységek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_Toc11685695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47</w:t>
            </w:r>
            <w:r w:rsidR="00452359">
              <w:rPr>
                <w:webHidden/>
              </w:rPr>
              <w:fldChar w:fldCharType="end"/>
            </w:r>
          </w:hyperlink>
        </w:p>
        <w:p w14:paraId="22C2BF88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96" w:history="1">
            <w:r w:rsidR="00452359" w:rsidRPr="00365D4C">
              <w:rPr>
                <w:rStyle w:val="Hiperhivatkozs"/>
              </w:rPr>
              <w:t>VI.1.1. A Felelős Hatóság ellenőrző tevékenysége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_Toc11685696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47</w:t>
            </w:r>
            <w:r w:rsidR="00452359">
              <w:rPr>
                <w:webHidden/>
              </w:rPr>
              <w:fldChar w:fldCharType="end"/>
            </w:r>
          </w:hyperlink>
        </w:p>
        <w:p w14:paraId="243A8BF7" w14:textId="77777777" w:rsidR="00452359" w:rsidRDefault="00EE2689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697" w:history="1">
            <w:r w:rsidR="00452359" w:rsidRPr="00365D4C">
              <w:rPr>
                <w:rStyle w:val="Hiperhivatkozs"/>
              </w:rPr>
              <w:t>VI.1.2. Egyéb szervezetek ellenőrző tevékenysége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_Toc11685697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49</w:t>
            </w:r>
            <w:r w:rsidR="00452359">
              <w:rPr>
                <w:webHidden/>
              </w:rPr>
              <w:fldChar w:fldCharType="end"/>
            </w:r>
          </w:hyperlink>
        </w:p>
        <w:p w14:paraId="7518481C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8" w:history="1">
            <w:r w:rsidR="00452359" w:rsidRPr="00365D4C">
              <w:rPr>
                <w:rStyle w:val="Hiperhivatkozs"/>
              </w:rPr>
              <w:t>VI.2. Adatszolgáltatási kötelezettség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_Toc11685698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49</w:t>
            </w:r>
            <w:r w:rsidR="00452359">
              <w:rPr>
                <w:webHidden/>
              </w:rPr>
              <w:fldChar w:fldCharType="end"/>
            </w:r>
          </w:hyperlink>
        </w:p>
        <w:p w14:paraId="3F936204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699" w:history="1">
            <w:r w:rsidR="00452359" w:rsidRPr="00365D4C">
              <w:rPr>
                <w:rStyle w:val="Hiperhivatkozs"/>
              </w:rPr>
              <w:t>VI.3. Láthatóság és disszemináció biztosítása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_Toc11685699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50</w:t>
            </w:r>
            <w:r w:rsidR="00452359">
              <w:rPr>
                <w:webHidden/>
              </w:rPr>
              <w:fldChar w:fldCharType="end"/>
            </w:r>
          </w:hyperlink>
        </w:p>
        <w:p w14:paraId="1424196F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00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_Toc11685700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50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47F072F8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1" w:history="1">
            <w:r w:rsidR="00452359" w:rsidRPr="00365D4C">
              <w:rPr>
                <w:rStyle w:val="Hiperhivatkozs"/>
              </w:rPr>
              <w:t>VII.1 Betekintési jog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_Toc11685701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50</w:t>
            </w:r>
            <w:r w:rsidR="00452359">
              <w:rPr>
                <w:webHidden/>
              </w:rPr>
              <w:fldChar w:fldCharType="end"/>
            </w:r>
          </w:hyperlink>
        </w:p>
        <w:p w14:paraId="6E775E0C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2" w:history="1">
            <w:r w:rsidR="00452359" w:rsidRPr="00365D4C">
              <w:rPr>
                <w:rStyle w:val="Hiperhivatkozs"/>
              </w:rPr>
              <w:t>VII.2. Kifogás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_Toc11685702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50</w:t>
            </w:r>
            <w:r w:rsidR="00452359">
              <w:rPr>
                <w:webHidden/>
              </w:rPr>
              <w:fldChar w:fldCharType="end"/>
            </w:r>
          </w:hyperlink>
        </w:p>
        <w:p w14:paraId="745FD6E9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3" w:history="1">
            <w:r w:rsidR="00452359" w:rsidRPr="00365D4C">
              <w:rPr>
                <w:rStyle w:val="Hiperhivatkozs"/>
              </w:rPr>
              <w:t>VII.3. A Támogatási Szerződés megkötésének módja, feltételei (biztosítékok)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_Toc11685703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51</w:t>
            </w:r>
            <w:r w:rsidR="00452359">
              <w:rPr>
                <w:webHidden/>
              </w:rPr>
              <w:fldChar w:fldCharType="end"/>
            </w:r>
          </w:hyperlink>
        </w:p>
        <w:p w14:paraId="1BC49FDC" w14:textId="77777777" w:rsidR="00452359" w:rsidRDefault="00EE2689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704" w:history="1">
            <w:r w:rsidR="00452359" w:rsidRPr="00365D4C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452359">
              <w:rPr>
                <w:noProof/>
                <w:webHidden/>
              </w:rPr>
              <w:tab/>
            </w:r>
            <w:r w:rsidR="00452359">
              <w:rPr>
                <w:noProof/>
                <w:webHidden/>
              </w:rPr>
              <w:fldChar w:fldCharType="begin"/>
            </w:r>
            <w:r w:rsidR="00452359">
              <w:rPr>
                <w:noProof/>
                <w:webHidden/>
              </w:rPr>
              <w:instrText xml:space="preserve"> PAGEREF _Toc11685704 \h </w:instrText>
            </w:r>
            <w:r w:rsidR="00452359">
              <w:rPr>
                <w:noProof/>
                <w:webHidden/>
              </w:rPr>
            </w:r>
            <w:r w:rsidR="00452359">
              <w:rPr>
                <w:noProof/>
                <w:webHidden/>
              </w:rPr>
              <w:fldChar w:fldCharType="separate"/>
            </w:r>
            <w:r w:rsidR="00452359">
              <w:rPr>
                <w:noProof/>
                <w:webHidden/>
              </w:rPr>
              <w:t>52</w:t>
            </w:r>
            <w:r w:rsidR="00452359">
              <w:rPr>
                <w:noProof/>
                <w:webHidden/>
              </w:rPr>
              <w:fldChar w:fldCharType="end"/>
            </w:r>
          </w:hyperlink>
        </w:p>
        <w:p w14:paraId="61356E19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5" w:history="1">
            <w:r w:rsidR="00452359" w:rsidRPr="00365D4C">
              <w:rPr>
                <w:rStyle w:val="Hiperhivatkozs"/>
              </w:rPr>
              <w:t>VIII.1. Támogatási Szerződés minta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_Toc11685705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52</w:t>
            </w:r>
            <w:r w:rsidR="00452359">
              <w:rPr>
                <w:webHidden/>
              </w:rPr>
              <w:fldChar w:fldCharType="end"/>
            </w:r>
          </w:hyperlink>
        </w:p>
        <w:p w14:paraId="59CD913E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6" w:history="1">
            <w:r w:rsidR="00452359" w:rsidRPr="00365D4C">
              <w:rPr>
                <w:rStyle w:val="Hiperhivatkozs"/>
              </w:rPr>
              <w:t>VIII.2. Az Általános Szerződési Feltételek dokumentuma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_Toc11685706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52</w:t>
            </w:r>
            <w:r w:rsidR="00452359">
              <w:rPr>
                <w:webHidden/>
              </w:rPr>
              <w:fldChar w:fldCharType="end"/>
            </w:r>
          </w:hyperlink>
        </w:p>
        <w:p w14:paraId="3E49E166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7" w:history="1">
            <w:r w:rsidR="00452359" w:rsidRPr="00365D4C">
              <w:rPr>
                <w:rStyle w:val="Hiperhivatkozs"/>
              </w:rPr>
              <w:t>VIII.3. Választható indikátorok listája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_Toc11685707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53</w:t>
            </w:r>
            <w:r w:rsidR="00452359">
              <w:rPr>
                <w:webHidden/>
              </w:rPr>
              <w:fldChar w:fldCharType="end"/>
            </w:r>
          </w:hyperlink>
        </w:p>
        <w:p w14:paraId="3358D2C8" w14:textId="77777777" w:rsidR="00452359" w:rsidRDefault="00EE2689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708" w:history="1">
            <w:r w:rsidR="00452359" w:rsidRPr="00365D4C">
              <w:rPr>
                <w:rStyle w:val="Hiperhivatkozs"/>
              </w:rPr>
              <w:t>VIII.4. Pályázat adattartalma</w:t>
            </w:r>
            <w:r w:rsidR="00452359">
              <w:rPr>
                <w:webHidden/>
              </w:rPr>
              <w:tab/>
            </w:r>
            <w:r w:rsidR="00452359">
              <w:rPr>
                <w:webHidden/>
              </w:rPr>
              <w:fldChar w:fldCharType="begin"/>
            </w:r>
            <w:r w:rsidR="00452359">
              <w:rPr>
                <w:webHidden/>
              </w:rPr>
              <w:instrText xml:space="preserve"> PAGEREF _Toc11685708 \h </w:instrText>
            </w:r>
            <w:r w:rsidR="00452359">
              <w:rPr>
                <w:webHidden/>
              </w:rPr>
            </w:r>
            <w:r w:rsidR="00452359">
              <w:rPr>
                <w:webHidden/>
              </w:rPr>
              <w:fldChar w:fldCharType="separate"/>
            </w:r>
            <w:r w:rsidR="00452359">
              <w:rPr>
                <w:webHidden/>
              </w:rPr>
              <w:t>55</w:t>
            </w:r>
            <w:r w:rsidR="00452359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65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6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6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F54B2B">
        <w:rPr>
          <w:rFonts w:ascii="Times New Roman" w:hAnsi="Times New Roman"/>
          <w:sz w:val="24"/>
          <w:szCs w:val="24"/>
        </w:rPr>
        <w:t xml:space="preserve">kérelmek </w:t>
      </w:r>
      <w:r w:rsidRPr="00F54B2B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54B2B">
        <w:rPr>
          <w:rFonts w:ascii="Times New Roman" w:hAnsi="Times New Roman"/>
          <w:b/>
          <w:bCs/>
          <w:sz w:val="24"/>
          <w:szCs w:val="24"/>
        </w:rPr>
        <w:t>9</w:t>
      </w:r>
      <w:r w:rsidRPr="00F54B2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54B2B">
        <w:rPr>
          <w:rFonts w:ascii="Times New Roman" w:hAnsi="Times New Roman"/>
          <w:b/>
          <w:bCs/>
          <w:sz w:val="24"/>
          <w:szCs w:val="24"/>
        </w:rPr>
        <w:t>augusztus 29-én</w:t>
      </w:r>
      <w:r w:rsidRPr="00F54B2B">
        <w:rPr>
          <w:rFonts w:ascii="Times New Roman" w:hAnsi="Times New Roman"/>
          <w:b/>
          <w:bCs/>
          <w:sz w:val="24"/>
          <w:szCs w:val="24"/>
        </w:rPr>
        <w:t xml:space="preserve"> 12.00 óráig nyújthatók be.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647E7D9C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szerződéskötés várható időpontja</w:t>
      </w:r>
      <w:r w:rsidRPr="00C5067E">
        <w:rPr>
          <w:rFonts w:ascii="Times New Roman" w:hAnsi="Times New Roman"/>
          <w:sz w:val="24"/>
          <w:szCs w:val="24"/>
        </w:rPr>
        <w:t xml:space="preserve">: </w:t>
      </w:r>
      <w:r w:rsidR="00C16CE9" w:rsidRPr="00C5067E">
        <w:rPr>
          <w:rFonts w:ascii="Times New Roman" w:hAnsi="Times New Roman"/>
          <w:sz w:val="24"/>
          <w:szCs w:val="24"/>
          <w:lang w:eastAsia="fr-BE"/>
        </w:rPr>
        <w:t>2019</w:t>
      </w:r>
      <w:r w:rsidRPr="00C5067E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C5067E">
        <w:rPr>
          <w:rFonts w:ascii="Times New Roman" w:hAnsi="Times New Roman"/>
          <w:sz w:val="24"/>
          <w:szCs w:val="24"/>
          <w:lang w:eastAsia="fr-BE"/>
        </w:rPr>
        <w:t>I</w:t>
      </w:r>
      <w:r w:rsidRPr="00C5067E">
        <w:rPr>
          <w:rFonts w:ascii="Times New Roman" w:hAnsi="Times New Roman"/>
          <w:sz w:val="24"/>
          <w:szCs w:val="24"/>
          <w:lang w:eastAsia="fr-BE"/>
        </w:rPr>
        <w:t>. félév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6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3F83AAA9" w:rsidR="00933F5D" w:rsidRPr="00933F5D" w:rsidRDefault="00EE2689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C04C35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6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6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5FC4E868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2B7635">
        <w:rPr>
          <w:rFonts w:ascii="Times New Roman" w:hAnsi="Times New Roman"/>
          <w:b/>
          <w:noProof/>
          <w:sz w:val="24"/>
          <w:szCs w:val="24"/>
        </w:rPr>
        <w:t>500 000 000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EE2689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1718B003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D9045A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279FA824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2B7635">
        <w:rPr>
          <w:rFonts w:ascii="Times New Roman" w:hAnsi="Times New Roman"/>
          <w:b/>
          <w:sz w:val="24"/>
          <w:szCs w:val="24"/>
        </w:rPr>
        <w:t xml:space="preserve">10 000 </w:t>
      </w:r>
      <w:proofErr w:type="spellStart"/>
      <w:r w:rsidR="002B7635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2ABA4A73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2B7635">
        <w:rPr>
          <w:rFonts w:ascii="Times New Roman" w:hAnsi="Times New Roman"/>
          <w:b/>
          <w:sz w:val="24"/>
          <w:szCs w:val="24"/>
          <w:lang w:eastAsia="fr-BE"/>
        </w:rPr>
        <w:t xml:space="preserve">500 000 </w:t>
      </w:r>
      <w:proofErr w:type="spellStart"/>
      <w:r w:rsidR="002B7635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66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6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6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06F779D8" w14:textId="77777777" w:rsidR="002B7635" w:rsidRPr="00506853" w:rsidRDefault="002B7635" w:rsidP="002B763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6853">
        <w:rPr>
          <w:rFonts w:ascii="Times New Roman" w:hAnsi="Times New Roman"/>
          <w:sz w:val="24"/>
          <w:szCs w:val="24"/>
          <w:lang w:eastAsia="hu-HU"/>
        </w:rPr>
        <w:t xml:space="preserve">Súlyos és szervezett bűnözés elleni küzdelem tárgykörét illetően </w:t>
      </w:r>
    </w:p>
    <w:p w14:paraId="5F0A0F09" w14:textId="77777777" w:rsidR="002B7635" w:rsidRPr="00506853" w:rsidRDefault="002B7635" w:rsidP="002B7635">
      <w:pPr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>bűnüldözési-bűnmegelőzési</w:t>
      </w:r>
      <w:proofErr w:type="gramEnd"/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 xml:space="preserve"> témájú, illetve multidiszciplináris képességek megt</w:t>
      </w: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 xml:space="preserve">remtését célzó képzések, valamint szakmai idegen nyelvi képzések szervezése, képzéseken történő részvétel. </w:t>
      </w:r>
    </w:p>
    <w:p w14:paraId="1FEFB59F" w14:textId="77777777" w:rsidR="002B7635" w:rsidRPr="00506853" w:rsidRDefault="002B7635" w:rsidP="002B7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175713" w14:textId="77777777" w:rsidR="002B7635" w:rsidRPr="00506853" w:rsidRDefault="002B7635" w:rsidP="002B7635">
      <w:pPr>
        <w:pStyle w:val="Default"/>
        <w:ind w:left="1146"/>
        <w:jc w:val="both"/>
        <w:rPr>
          <w:color w:val="auto"/>
        </w:rPr>
      </w:pPr>
      <w:r w:rsidRPr="00506853">
        <w:rPr>
          <w:color w:val="auto"/>
        </w:rPr>
        <w:t xml:space="preserve">Képzések szervezése, illetve képzéseken történő részvétel elsősorban az alábbi szakterületek vonatkozásában tervezhető: </w:t>
      </w:r>
    </w:p>
    <w:p w14:paraId="7C744439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terrorizmus, </w:t>
      </w:r>
      <w:proofErr w:type="spellStart"/>
      <w:r w:rsidRPr="00506853">
        <w:rPr>
          <w:color w:val="auto"/>
        </w:rPr>
        <w:t>radikalizáció</w:t>
      </w:r>
      <w:proofErr w:type="spellEnd"/>
      <w:r w:rsidRPr="00506853">
        <w:rPr>
          <w:color w:val="auto"/>
        </w:rPr>
        <w:t xml:space="preserve">, extrémizmus, polarizáció; </w:t>
      </w:r>
    </w:p>
    <w:p w14:paraId="136A341F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kábítószer-kereskedelem, </w:t>
      </w:r>
      <w:proofErr w:type="spellStart"/>
      <w:r w:rsidRPr="00506853">
        <w:rPr>
          <w:color w:val="auto"/>
        </w:rPr>
        <w:t>-csempészet</w:t>
      </w:r>
      <w:proofErr w:type="spellEnd"/>
      <w:r w:rsidRPr="00506853">
        <w:rPr>
          <w:color w:val="auto"/>
        </w:rPr>
        <w:t xml:space="preserve">; </w:t>
      </w:r>
    </w:p>
    <w:p w14:paraId="6C5E5503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fegyverkereskedelem, </w:t>
      </w:r>
      <w:proofErr w:type="spellStart"/>
      <w:r w:rsidRPr="00506853">
        <w:rPr>
          <w:color w:val="auto"/>
        </w:rPr>
        <w:t>-csempészet</w:t>
      </w:r>
      <w:proofErr w:type="spellEnd"/>
      <w:r w:rsidRPr="00506853">
        <w:rPr>
          <w:color w:val="auto"/>
        </w:rPr>
        <w:t>;</w:t>
      </w:r>
    </w:p>
    <w:p w14:paraId="79F0466D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emberkereskedelem; </w:t>
      </w:r>
    </w:p>
    <w:p w14:paraId="11CACAFF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>pénzmosás;</w:t>
      </w:r>
    </w:p>
    <w:p w14:paraId="2BDA54CE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  <w:lang w:eastAsia="fr-BE"/>
        </w:rPr>
        <w:t>gazdasági-pénzügyi nyomozások, vagyon-visszaszerzés;</w:t>
      </w:r>
    </w:p>
    <w:p w14:paraId="71F43734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>korrupció a rendvédelem területén, illetve nemzetközi jelleggel érintett h</w:t>
      </w:r>
      <w:r w:rsidRPr="00506853">
        <w:rPr>
          <w:color w:val="auto"/>
        </w:rPr>
        <w:t>i</w:t>
      </w:r>
      <w:r w:rsidRPr="00506853">
        <w:rPr>
          <w:color w:val="auto"/>
        </w:rPr>
        <w:t xml:space="preserve">vatali korrupció; </w:t>
      </w:r>
    </w:p>
    <w:p w14:paraId="40F6B3F6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>fizetőeszközök hamisítása – beleértve: készpénz-helyettesítő fizetési es</w:t>
      </w:r>
      <w:r w:rsidRPr="00506853">
        <w:rPr>
          <w:color w:val="auto"/>
        </w:rPr>
        <w:t>z</w:t>
      </w:r>
      <w:r w:rsidRPr="00506853">
        <w:rPr>
          <w:color w:val="auto"/>
        </w:rPr>
        <w:t xml:space="preserve">közzel visszaélés;  </w:t>
      </w:r>
    </w:p>
    <w:p w14:paraId="5362B7C3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proofErr w:type="spellStart"/>
      <w:r w:rsidRPr="00506853">
        <w:rPr>
          <w:color w:val="auto"/>
        </w:rPr>
        <w:t>cybercrime</w:t>
      </w:r>
      <w:proofErr w:type="spellEnd"/>
      <w:r w:rsidRPr="00506853">
        <w:rPr>
          <w:color w:val="auto"/>
        </w:rPr>
        <w:t xml:space="preserve"> – beleértve: </w:t>
      </w:r>
      <w:proofErr w:type="spellStart"/>
      <w:r w:rsidRPr="00506853">
        <w:rPr>
          <w:color w:val="auto"/>
        </w:rPr>
        <w:t>kiberbiztonság</w:t>
      </w:r>
      <w:proofErr w:type="spellEnd"/>
      <w:r w:rsidRPr="00506853">
        <w:rPr>
          <w:color w:val="auto"/>
        </w:rPr>
        <w:t>, gyermekek szexuális kizsákm</w:t>
      </w:r>
      <w:r w:rsidRPr="00506853">
        <w:rPr>
          <w:color w:val="auto"/>
        </w:rPr>
        <w:t>á</w:t>
      </w:r>
      <w:r w:rsidRPr="00506853">
        <w:rPr>
          <w:color w:val="auto"/>
        </w:rPr>
        <w:t>nyolása;</w:t>
      </w:r>
    </w:p>
    <w:p w14:paraId="0D30940D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szervezett bűnözés egyéb formái – beleértve: embercsempészet, MTIC és jövedéki adócsalás, környezet és a természet elleni bűncselekmények; </w:t>
      </w:r>
    </w:p>
    <w:p w14:paraId="1BAC72E5" w14:textId="77777777" w:rsidR="002B7635" w:rsidRPr="00506853" w:rsidRDefault="002B7635" w:rsidP="002B7635">
      <w:pPr>
        <w:pStyle w:val="Default"/>
        <w:numPr>
          <w:ilvl w:val="0"/>
          <w:numId w:val="59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emberkereskedelem. </w:t>
      </w:r>
    </w:p>
    <w:p w14:paraId="41C06933" w14:textId="77777777" w:rsidR="002B7635" w:rsidRPr="00506853" w:rsidRDefault="002B7635" w:rsidP="002B7635">
      <w:pPr>
        <w:pStyle w:val="Default"/>
      </w:pPr>
    </w:p>
    <w:p w14:paraId="0D90913D" w14:textId="77777777" w:rsidR="002B7635" w:rsidRPr="000F1881" w:rsidRDefault="002B7635" w:rsidP="002B763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1. </w:t>
      </w:r>
      <w:r w:rsidRPr="0050685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Európai Bűnüldözési Képzési Rendszer (LETS) II. számú fellépési területét illetően </w:t>
      </w:r>
      <w:r w:rsidRPr="000F1881">
        <w:rPr>
          <w:rFonts w:ascii="Times New Roman" w:eastAsia="Times New Roman" w:hAnsi="Times New Roman"/>
          <w:bCs/>
          <w:sz w:val="24"/>
          <w:szCs w:val="24"/>
          <w:lang w:eastAsia="hu-HU"/>
        </w:rPr>
        <w:t>a h</w:t>
      </w:r>
      <w:r w:rsidRPr="000F1881">
        <w:rPr>
          <w:rFonts w:ascii="Times New Roman" w:hAnsi="Times New Roman"/>
          <w:sz w:val="24"/>
          <w:szCs w:val="24"/>
        </w:rPr>
        <w:t xml:space="preserve">atékony kétoldalú és regionális együttműködés fejlesztése érdekében tananyag kidolgozása és minősítési eljárásnak való megfeleltetése, valamint e tárgykörökben </w:t>
      </w:r>
      <w:r w:rsidRPr="000F1881">
        <w:rPr>
          <w:rFonts w:ascii="Times New Roman" w:eastAsia="Times New Roman" w:hAnsi="Times New Roman"/>
          <w:sz w:val="24"/>
          <w:szCs w:val="24"/>
          <w:lang w:eastAsia="hu-HU"/>
        </w:rPr>
        <w:t>képzések szervezése, illetve képzéseken történő részvétel, elsőso</w:t>
      </w:r>
      <w:r w:rsidRPr="000F1881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 w:rsidRPr="000F1881">
        <w:rPr>
          <w:rFonts w:ascii="Times New Roman" w:eastAsia="Times New Roman" w:hAnsi="Times New Roman"/>
          <w:sz w:val="24"/>
          <w:szCs w:val="24"/>
          <w:lang w:eastAsia="hu-HU"/>
        </w:rPr>
        <w:t>ban ország-specifikus és/vagy eljárás-specifikus megközelítés alkalmazása me</w:t>
      </w:r>
      <w:r w:rsidRPr="000F1881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0F1881">
        <w:rPr>
          <w:rFonts w:ascii="Times New Roman" w:eastAsia="Times New Roman" w:hAnsi="Times New Roman"/>
          <w:sz w:val="24"/>
          <w:szCs w:val="24"/>
          <w:lang w:eastAsia="hu-HU"/>
        </w:rPr>
        <w:t xml:space="preserve">lett. </w:t>
      </w:r>
    </w:p>
    <w:p w14:paraId="7E207E1D" w14:textId="77777777" w:rsidR="002B7635" w:rsidRPr="00506853" w:rsidRDefault="002B7635" w:rsidP="002B7635">
      <w:pPr>
        <w:pStyle w:val="CM4"/>
        <w:ind w:left="426"/>
        <w:jc w:val="both"/>
        <w:rPr>
          <w:rFonts w:ascii="Times New Roman" w:eastAsia="Times New Roman" w:hAnsi="Times New Roman"/>
          <w:lang w:eastAsia="hu-HU"/>
        </w:rPr>
      </w:pPr>
    </w:p>
    <w:p w14:paraId="3F931E23" w14:textId="77777777" w:rsidR="002B7635" w:rsidRPr="00506853" w:rsidRDefault="002B7635" w:rsidP="002B7635">
      <w:pPr>
        <w:pStyle w:val="Default"/>
        <w:ind w:left="1056"/>
        <w:jc w:val="both"/>
        <w:rPr>
          <w:color w:val="auto"/>
        </w:rPr>
      </w:pPr>
      <w:r w:rsidRPr="00506853">
        <w:rPr>
          <w:color w:val="auto"/>
        </w:rPr>
        <w:t xml:space="preserve">Tananyag kidolgozása, képzések szervezése, illetve képzéseken történő részvétel elsősorban az alábbi szakterületek vonatkozásában tervezhető: </w:t>
      </w:r>
    </w:p>
    <w:p w14:paraId="09F80B72" w14:textId="77777777" w:rsidR="002B7635" w:rsidRPr="00506853" w:rsidRDefault="002B7635" w:rsidP="002B7635">
      <w:pPr>
        <w:pStyle w:val="Default"/>
        <w:numPr>
          <w:ilvl w:val="0"/>
          <w:numId w:val="61"/>
        </w:numPr>
        <w:ind w:left="1843"/>
        <w:jc w:val="both"/>
      </w:pPr>
      <w:r w:rsidRPr="00506853">
        <w:t>határon átnyúló EU és nemzetközi bűnüldözési eszközök alkalmazásának képességét megteremtő/fejlesztő ismeretek;</w:t>
      </w:r>
    </w:p>
    <w:p w14:paraId="0BDBC904" w14:textId="77777777" w:rsidR="002B7635" w:rsidRPr="00506853" w:rsidRDefault="002B7635" w:rsidP="002B7635">
      <w:pPr>
        <w:pStyle w:val="Default"/>
        <w:numPr>
          <w:ilvl w:val="0"/>
          <w:numId w:val="61"/>
        </w:numPr>
        <w:ind w:left="1843"/>
        <w:jc w:val="both"/>
      </w:pPr>
      <w:r w:rsidRPr="00506853">
        <w:lastRenderedPageBreak/>
        <w:t>nemzetközi bűnügyi együttműködésre vonatkozó kétoldalú megállapod</w:t>
      </w:r>
      <w:r w:rsidRPr="00506853">
        <w:t>á</w:t>
      </w:r>
      <w:r w:rsidRPr="00506853">
        <w:t>sok, illetve azok alkalmazásának képességét megteremtő/fejlesztő ismer</w:t>
      </w:r>
      <w:r w:rsidRPr="00506853">
        <w:t>e</w:t>
      </w:r>
      <w:r w:rsidRPr="00506853">
        <w:t>tek.</w:t>
      </w:r>
    </w:p>
    <w:p w14:paraId="09BB6590" w14:textId="77777777" w:rsidR="002B7635" w:rsidRPr="00506853" w:rsidRDefault="002B7635" w:rsidP="002B7635">
      <w:pPr>
        <w:pStyle w:val="Default"/>
      </w:pPr>
    </w:p>
    <w:p w14:paraId="7534073F" w14:textId="77777777" w:rsidR="002B7635" w:rsidRPr="000F1881" w:rsidRDefault="002B7635" w:rsidP="002B7635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2. </w:t>
      </w:r>
      <w:r w:rsidRPr="0050685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Európai Bűnüldözési Képzési Rendszer (LETS) III. számú fellépési területét illetően a tematikus rendészeti specializáció </w:t>
      </w:r>
      <w:r w:rsidRPr="00506853">
        <w:rPr>
          <w:rFonts w:ascii="Times New Roman" w:hAnsi="Times New Roman"/>
          <w:sz w:val="24"/>
          <w:szCs w:val="24"/>
        </w:rPr>
        <w:t>fejlesztése érdekében tananyag kido</w:t>
      </w:r>
      <w:r w:rsidRPr="00506853">
        <w:rPr>
          <w:rFonts w:ascii="Times New Roman" w:hAnsi="Times New Roman"/>
          <w:sz w:val="24"/>
          <w:szCs w:val="24"/>
        </w:rPr>
        <w:t>l</w:t>
      </w:r>
      <w:r w:rsidRPr="00506853">
        <w:rPr>
          <w:rFonts w:ascii="Times New Roman" w:hAnsi="Times New Roman"/>
          <w:sz w:val="24"/>
          <w:szCs w:val="24"/>
        </w:rPr>
        <w:t>gozása és akkreditálása, továbbá b</w:t>
      </w: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>űnüldözési-bűnmegelőzési témájú, valamint multidiszciplináris képességek megteremtését célzó képzések szervezése, illetve képzéseken történő részvétel, elsősorban bűncselekmény-specifikus és/vagy elk</w:t>
      </w: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 xml:space="preserve">vetés-specifikus megközelítést alkalmazása mellett. </w:t>
      </w:r>
    </w:p>
    <w:p w14:paraId="6806F618" w14:textId="77777777" w:rsidR="002B7635" w:rsidRPr="00506853" w:rsidRDefault="002B7635" w:rsidP="002B7635">
      <w:pPr>
        <w:spacing w:after="0" w:line="240" w:lineRule="auto"/>
        <w:ind w:left="99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1BDA72" w14:textId="77777777" w:rsidR="002B7635" w:rsidRPr="00506853" w:rsidRDefault="002B7635" w:rsidP="002B7635">
      <w:pPr>
        <w:pStyle w:val="Default"/>
        <w:ind w:left="1134"/>
        <w:jc w:val="both"/>
        <w:rPr>
          <w:color w:val="auto"/>
        </w:rPr>
      </w:pPr>
      <w:r w:rsidRPr="00506853">
        <w:rPr>
          <w:color w:val="auto"/>
        </w:rPr>
        <w:t xml:space="preserve">Képzések szervezése, illetve képzéseken történő részvétel elsősorban az alábbi szakterületek vonatkozásában tervezhető: </w:t>
      </w:r>
    </w:p>
    <w:p w14:paraId="3D983E8D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terrorizmus, </w:t>
      </w:r>
      <w:proofErr w:type="spellStart"/>
      <w:r w:rsidRPr="00506853">
        <w:rPr>
          <w:color w:val="auto"/>
        </w:rPr>
        <w:t>radikalizáció</w:t>
      </w:r>
      <w:proofErr w:type="spellEnd"/>
      <w:r w:rsidRPr="00506853">
        <w:rPr>
          <w:color w:val="auto"/>
        </w:rPr>
        <w:t xml:space="preserve">, extrémizmus, polarizáció; </w:t>
      </w:r>
    </w:p>
    <w:p w14:paraId="14A479DF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kábítószer-kereskedelem, </w:t>
      </w:r>
      <w:proofErr w:type="spellStart"/>
      <w:r w:rsidRPr="00506853">
        <w:rPr>
          <w:color w:val="auto"/>
        </w:rPr>
        <w:t>-csempészet</w:t>
      </w:r>
      <w:proofErr w:type="spellEnd"/>
      <w:r w:rsidRPr="00506853">
        <w:rPr>
          <w:color w:val="auto"/>
        </w:rPr>
        <w:t xml:space="preserve">; </w:t>
      </w:r>
    </w:p>
    <w:p w14:paraId="04E420E7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fegyverkereskedelem, </w:t>
      </w:r>
      <w:proofErr w:type="spellStart"/>
      <w:r w:rsidRPr="00506853">
        <w:rPr>
          <w:color w:val="auto"/>
        </w:rPr>
        <w:t>-csempészet</w:t>
      </w:r>
      <w:proofErr w:type="spellEnd"/>
      <w:r w:rsidRPr="00506853">
        <w:rPr>
          <w:color w:val="auto"/>
        </w:rPr>
        <w:t>;</w:t>
      </w:r>
    </w:p>
    <w:p w14:paraId="3ECEFCEF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emberkereskedelem; </w:t>
      </w:r>
    </w:p>
    <w:p w14:paraId="25CA2D73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>pénzmosás;</w:t>
      </w:r>
    </w:p>
    <w:p w14:paraId="583E5956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  <w:lang w:eastAsia="fr-BE"/>
        </w:rPr>
        <w:t>gazdasági-pénzügyi nyomozások, vagyon-visszaszerzés;</w:t>
      </w:r>
    </w:p>
    <w:p w14:paraId="6AF619CC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>korrupció a rendvédelem területén, illetve nemzetközi jelleggel érintett h</w:t>
      </w:r>
      <w:r w:rsidRPr="00506853">
        <w:rPr>
          <w:color w:val="auto"/>
        </w:rPr>
        <w:t>i</w:t>
      </w:r>
      <w:r w:rsidRPr="00506853">
        <w:rPr>
          <w:color w:val="auto"/>
        </w:rPr>
        <w:t xml:space="preserve">vatali korrupció; </w:t>
      </w:r>
    </w:p>
    <w:p w14:paraId="7E4893FA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>fizetőeszközök hamisítása – beleértve: készpénz-helyettesítő fizetési es</w:t>
      </w:r>
      <w:r w:rsidRPr="00506853">
        <w:rPr>
          <w:color w:val="auto"/>
        </w:rPr>
        <w:t>z</w:t>
      </w:r>
      <w:r w:rsidRPr="00506853">
        <w:rPr>
          <w:color w:val="auto"/>
        </w:rPr>
        <w:t xml:space="preserve">közzel visszaélés;  </w:t>
      </w:r>
    </w:p>
    <w:p w14:paraId="4161DB2D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proofErr w:type="spellStart"/>
      <w:r w:rsidRPr="00506853">
        <w:rPr>
          <w:color w:val="auto"/>
        </w:rPr>
        <w:t>cybercrime</w:t>
      </w:r>
      <w:proofErr w:type="spellEnd"/>
      <w:r w:rsidRPr="00506853">
        <w:rPr>
          <w:color w:val="auto"/>
        </w:rPr>
        <w:t xml:space="preserve"> – beleértve: </w:t>
      </w:r>
      <w:proofErr w:type="spellStart"/>
      <w:r w:rsidRPr="00506853">
        <w:rPr>
          <w:color w:val="auto"/>
        </w:rPr>
        <w:t>kiberbiztonság</w:t>
      </w:r>
      <w:proofErr w:type="spellEnd"/>
      <w:r w:rsidRPr="00506853">
        <w:rPr>
          <w:color w:val="auto"/>
        </w:rPr>
        <w:t>, gyermekek szexuális kizsákm</w:t>
      </w:r>
      <w:r w:rsidRPr="00506853">
        <w:rPr>
          <w:color w:val="auto"/>
        </w:rPr>
        <w:t>á</w:t>
      </w:r>
      <w:r w:rsidRPr="00506853">
        <w:rPr>
          <w:color w:val="auto"/>
        </w:rPr>
        <w:t>nyolása;</w:t>
      </w:r>
    </w:p>
    <w:p w14:paraId="622222D7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szervezett bűnözés egyéb formái – beleértve: embercsempészet, MTIC és jövedéki adócsalás, környezet és a természet elleni bűncselekmények; </w:t>
      </w:r>
    </w:p>
    <w:p w14:paraId="529F759C" w14:textId="77777777" w:rsidR="002B7635" w:rsidRPr="00506853" w:rsidRDefault="002B7635" w:rsidP="002B7635">
      <w:pPr>
        <w:pStyle w:val="Default"/>
        <w:numPr>
          <w:ilvl w:val="0"/>
          <w:numId w:val="62"/>
        </w:numPr>
        <w:ind w:left="1843"/>
        <w:jc w:val="both"/>
        <w:rPr>
          <w:color w:val="auto"/>
        </w:rPr>
      </w:pPr>
      <w:r w:rsidRPr="00506853">
        <w:rPr>
          <w:color w:val="auto"/>
        </w:rPr>
        <w:t xml:space="preserve">emberkereskedelem. </w:t>
      </w:r>
    </w:p>
    <w:p w14:paraId="4A6FC3E7" w14:textId="77777777" w:rsidR="002B7635" w:rsidRPr="00506853" w:rsidRDefault="002B7635" w:rsidP="002B7635">
      <w:pPr>
        <w:pStyle w:val="Default"/>
        <w:ind w:left="1843"/>
        <w:jc w:val="both"/>
        <w:rPr>
          <w:color w:val="auto"/>
        </w:rPr>
      </w:pPr>
    </w:p>
    <w:p w14:paraId="3CBB53C7" w14:textId="77777777" w:rsidR="002B7635" w:rsidRPr="00506853" w:rsidRDefault="002B7635" w:rsidP="002B7635">
      <w:pPr>
        <w:pStyle w:val="Default"/>
        <w:ind w:left="360"/>
        <w:jc w:val="both"/>
      </w:pPr>
      <w:r w:rsidRPr="00506853">
        <w:t>Az intézkedés céljának elérése érdekében elvárás, hogy a pályázó a szakmai fejlesztés végrehajtása alkalmával vegye figyelembe a releváns ügynökségek és nemzetközi képzési intézmények</w:t>
      </w:r>
      <w:r w:rsidRPr="00506853" w:rsidDel="00AB7438">
        <w:t xml:space="preserve"> </w:t>
      </w:r>
      <w:r w:rsidRPr="00506853">
        <w:t>hasonló tárgyban készül közös tanterveit, tanmeneteit, tananyagait, valamint hogy a képzési programok eredményeinek fenntartása a projekt zárását követő legalább két év időtartamban biztosított legyen.</w:t>
      </w:r>
    </w:p>
    <w:p w14:paraId="7989D17B" w14:textId="77777777" w:rsidR="002B7635" w:rsidRDefault="002B7635" w:rsidP="002B7635">
      <w:pPr>
        <w:pStyle w:val="Default"/>
        <w:ind w:left="360"/>
        <w:jc w:val="both"/>
      </w:pPr>
      <w:r w:rsidRPr="00506853">
        <w:t xml:space="preserve">További elvárás, hogy – amennyiben a pályázó nem igazságügyi és rendészeti szerv – a szakmai fejlesztés az adott szakterületen szakismerettel bíró hatósági partner bevonása mellett kerüljön végrehajtásra.  </w:t>
      </w:r>
    </w:p>
    <w:p w14:paraId="300A16BF" w14:textId="6FD610BD" w:rsidR="007D46EE" w:rsidRPr="00506853" w:rsidRDefault="007D46EE" w:rsidP="002B7635">
      <w:pPr>
        <w:pStyle w:val="Default"/>
        <w:ind w:left="360"/>
        <w:jc w:val="both"/>
      </w:pPr>
      <w:r w:rsidRPr="007D46EE">
        <w:t xml:space="preserve">Elvárás valamint, hogy a projekt megvalósításában érintett </w:t>
      </w:r>
      <w:proofErr w:type="gramStart"/>
      <w:r w:rsidRPr="007D46EE">
        <w:t>szerv(</w:t>
      </w:r>
      <w:proofErr w:type="spellStart"/>
      <w:proofErr w:type="gramEnd"/>
      <w:r w:rsidRPr="007D46EE">
        <w:t>ek</w:t>
      </w:r>
      <w:proofErr w:type="spellEnd"/>
      <w:r w:rsidRPr="007D46EE">
        <w:t>) részvételi hajland</w:t>
      </w:r>
      <w:r w:rsidRPr="007D46EE">
        <w:t>ó</w:t>
      </w:r>
      <w:r w:rsidRPr="007D46EE">
        <w:t>sága a résztvevő szerv(</w:t>
      </w:r>
      <w:proofErr w:type="spellStart"/>
      <w:r w:rsidRPr="007D46EE">
        <w:t>ek</w:t>
      </w:r>
      <w:proofErr w:type="spellEnd"/>
      <w:r w:rsidRPr="007D46EE">
        <w:t>) részéről szándéknyilatkozattal igazolt legyen.</w:t>
      </w:r>
    </w:p>
    <w:p w14:paraId="48FED9A4" w14:textId="77777777" w:rsidR="0032087D" w:rsidRPr="006352B7" w:rsidRDefault="0032087D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6A0D20E3" w14:textId="77777777" w:rsidR="002B7635" w:rsidRPr="00506853" w:rsidRDefault="002B7635" w:rsidP="002B7635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853">
        <w:rPr>
          <w:rFonts w:ascii="Times New Roman" w:hAnsi="Times New Roman"/>
          <w:sz w:val="24"/>
          <w:szCs w:val="24"/>
        </w:rPr>
        <w:t>képzésekhez kapcsolódó képzési tervek, tananyagok, oktatási segédanyagok, mó</w:t>
      </w:r>
      <w:r w:rsidRPr="00506853">
        <w:rPr>
          <w:rFonts w:ascii="Times New Roman" w:hAnsi="Times New Roman"/>
          <w:sz w:val="24"/>
          <w:szCs w:val="24"/>
        </w:rPr>
        <w:t>d</w:t>
      </w:r>
      <w:r w:rsidRPr="00506853">
        <w:rPr>
          <w:rFonts w:ascii="Times New Roman" w:hAnsi="Times New Roman"/>
          <w:sz w:val="24"/>
          <w:szCs w:val="24"/>
        </w:rPr>
        <w:t>szertanok kidolgozása, felülvizsgálata, adaptálása és az ezekkel összefüggő tev</w:t>
      </w:r>
      <w:r w:rsidRPr="00506853">
        <w:rPr>
          <w:rFonts w:ascii="Times New Roman" w:hAnsi="Times New Roman"/>
          <w:sz w:val="24"/>
          <w:szCs w:val="24"/>
        </w:rPr>
        <w:t>é</w:t>
      </w:r>
      <w:r w:rsidRPr="00506853">
        <w:rPr>
          <w:rFonts w:ascii="Times New Roman" w:hAnsi="Times New Roman"/>
          <w:sz w:val="24"/>
          <w:szCs w:val="24"/>
        </w:rPr>
        <w:t>kenységek (pl. szakértői tevékenység, fordítás, díjköteles adatbázisok használata, oktatói és hallgatói állomány tudásszintjének, tudásszint javulásának vizsgálata, akkreditációs eljárás lefolytatása);</w:t>
      </w:r>
    </w:p>
    <w:p w14:paraId="14B39443" w14:textId="77777777" w:rsidR="002B7635" w:rsidRPr="00506853" w:rsidRDefault="002B7635" w:rsidP="002B7635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szakmai továbbképzések és szakmai idegen nyelvi képzések</w:t>
      </w:r>
      <w:r w:rsidRPr="00506853">
        <w:rPr>
          <w:rFonts w:ascii="Times New Roman" w:hAnsi="Times New Roman"/>
          <w:sz w:val="24"/>
          <w:szCs w:val="24"/>
        </w:rPr>
        <w:t xml:space="preserve"> szervezése, illetve képzéseken</w:t>
      </w:r>
      <w:r>
        <w:rPr>
          <w:rFonts w:ascii="Times New Roman" w:hAnsi="Times New Roman"/>
          <w:sz w:val="24"/>
          <w:szCs w:val="24"/>
        </w:rPr>
        <w:t xml:space="preserve"> történő részvétel;</w:t>
      </w:r>
      <w:r w:rsidRPr="00506853">
        <w:rPr>
          <w:rFonts w:ascii="Times New Roman" w:hAnsi="Times New Roman"/>
          <w:sz w:val="24"/>
          <w:szCs w:val="24"/>
        </w:rPr>
        <w:t xml:space="preserve"> </w:t>
      </w:r>
    </w:p>
    <w:p w14:paraId="484B821D" w14:textId="77777777" w:rsidR="002B7635" w:rsidRPr="00506853" w:rsidRDefault="002B7635" w:rsidP="002B7635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853">
        <w:rPr>
          <w:rFonts w:ascii="Times New Roman" w:hAnsi="Times New Roman"/>
          <w:sz w:val="24"/>
          <w:szCs w:val="24"/>
        </w:rPr>
        <w:t>képzések</w:t>
      </w:r>
      <w:r>
        <w:rPr>
          <w:rFonts w:ascii="Times New Roman" w:hAnsi="Times New Roman"/>
          <w:sz w:val="24"/>
          <w:szCs w:val="24"/>
        </w:rPr>
        <w:t xml:space="preserve"> megvalósításához szükséges speciális, kis értékű eszközök (pl. </w:t>
      </w:r>
      <w:proofErr w:type="spellStart"/>
      <w:r>
        <w:rPr>
          <w:rFonts w:ascii="Times New Roman" w:hAnsi="Times New Roman"/>
          <w:sz w:val="24"/>
          <w:szCs w:val="24"/>
        </w:rPr>
        <w:t>egyszerhasználható</w:t>
      </w:r>
      <w:proofErr w:type="spellEnd"/>
      <w:r>
        <w:rPr>
          <w:rFonts w:ascii="Times New Roman" w:hAnsi="Times New Roman"/>
          <w:sz w:val="24"/>
          <w:szCs w:val="24"/>
        </w:rPr>
        <w:t xml:space="preserve"> védőfelszerelés, induló készlet, fogyóeszközök) beszerzése; </w:t>
      </w:r>
    </w:p>
    <w:p w14:paraId="13CB8015" w14:textId="77777777" w:rsidR="002B7635" w:rsidRPr="00506853" w:rsidRDefault="002B7635" w:rsidP="002B7635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853"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r w:rsidRPr="00506853">
        <w:rPr>
          <w:rFonts w:ascii="Times New Roman" w:hAnsi="Times New Roman"/>
          <w:sz w:val="24"/>
          <w:szCs w:val="24"/>
        </w:rPr>
        <w:t>, a megvalósítást támogató szakmai tevékenységek (pl. tanulmánykészítés, szakértői tevékenység, díjköteles adatbázisok használata, kommunikációs tev</w:t>
      </w:r>
      <w:r w:rsidRPr="00506853">
        <w:rPr>
          <w:rFonts w:ascii="Times New Roman" w:hAnsi="Times New Roman"/>
          <w:sz w:val="24"/>
          <w:szCs w:val="24"/>
        </w:rPr>
        <w:t>é</w:t>
      </w:r>
      <w:r w:rsidRPr="00506853">
        <w:rPr>
          <w:rFonts w:ascii="Times New Roman" w:hAnsi="Times New Roman"/>
          <w:sz w:val="24"/>
          <w:szCs w:val="24"/>
        </w:rPr>
        <w:t>kenység keretében fordítás, tolmácsolás).</w:t>
      </w:r>
    </w:p>
    <w:p w14:paraId="024D25B7" w14:textId="77777777" w:rsidR="007D46EE" w:rsidRDefault="007D46EE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704B3A3C" w:rsidR="003003F5" w:rsidRPr="00B91284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7777777" w:rsidR="003003F5" w:rsidRPr="00D44C7E" w:rsidRDefault="003003F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2FE2EA49" w:rsidR="003003F5" w:rsidRPr="00D44C7E" w:rsidRDefault="002B7635" w:rsidP="002B76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3003F5" w:rsidRPr="003003F5" w14:paraId="6017D85E" w14:textId="77777777" w:rsidTr="00184B8E">
        <w:tc>
          <w:tcPr>
            <w:tcW w:w="5791" w:type="dxa"/>
            <w:shd w:val="clear" w:color="auto" w:fill="auto"/>
          </w:tcPr>
          <w:p w14:paraId="53A8B9BA" w14:textId="4FFC5C8C" w:rsidR="003003F5" w:rsidRPr="00B91284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3F69A8A3" w:rsidR="003003F5" w:rsidRPr="00D44C7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21465319" w:rsidR="003003F5" w:rsidRPr="00D44C7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100</w:t>
            </w:r>
          </w:p>
        </w:tc>
      </w:tr>
      <w:tr w:rsidR="002B7635" w:rsidRPr="003003F5" w14:paraId="10C52F97" w14:textId="77777777" w:rsidTr="00184B8E">
        <w:tc>
          <w:tcPr>
            <w:tcW w:w="5791" w:type="dxa"/>
            <w:shd w:val="clear" w:color="auto" w:fill="auto"/>
          </w:tcPr>
          <w:p w14:paraId="60794D67" w14:textId="2693C107" w:rsidR="002B7635" w:rsidRPr="006437AE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89B4721" w14:textId="0D60EABC" w:rsidR="002B7635" w:rsidRPr="00D44C7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804873D" w14:textId="5A19E2D2" w:rsidR="002B7635" w:rsidRPr="00D44C7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2B7635" w:rsidRPr="003003F5" w14:paraId="6E9741A5" w14:textId="77777777" w:rsidTr="00184B8E">
        <w:tc>
          <w:tcPr>
            <w:tcW w:w="5791" w:type="dxa"/>
            <w:shd w:val="clear" w:color="auto" w:fill="auto"/>
          </w:tcPr>
          <w:p w14:paraId="21D81284" w14:textId="2240C514" w:rsidR="002B7635" w:rsidRPr="006437AE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Kidolgozott, felülvizsgált képzési tervek, tananyagok, oktatási segédanyagok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94B09FF" w14:textId="1647D0D6" w:rsidR="002B7635" w:rsidRPr="00D44C7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ECB76BE" w14:textId="5C236361" w:rsidR="002B7635" w:rsidRPr="00D44C7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44C7E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2B7635" w:rsidRPr="003003F5" w14:paraId="4EB7FD56" w14:textId="77777777" w:rsidTr="00184B8E">
        <w:tc>
          <w:tcPr>
            <w:tcW w:w="5791" w:type="dxa"/>
            <w:shd w:val="clear" w:color="auto" w:fill="auto"/>
          </w:tcPr>
          <w:p w14:paraId="78356A27" w14:textId="2DF27714" w:rsidR="002B7635" w:rsidRPr="006437AE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Megtartott képzési program időtartama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4365F2B" w14:textId="432A5BA8" w:rsidR="002B7635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EDB7FC" w14:textId="4B0B034A" w:rsidR="002B7635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16 000</w:t>
            </w:r>
          </w:p>
        </w:tc>
      </w:tr>
      <w:tr w:rsidR="002B7635" w:rsidRPr="003003F5" w14:paraId="55854ACB" w14:textId="77777777" w:rsidTr="00184B8E">
        <w:tc>
          <w:tcPr>
            <w:tcW w:w="5791" w:type="dxa"/>
            <w:shd w:val="clear" w:color="auto" w:fill="auto"/>
          </w:tcPr>
          <w:p w14:paraId="01BD4AB7" w14:textId="2CFA4DC8" w:rsidR="002B7635" w:rsidRPr="006437AE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Képzési programot sikeresen elvégző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5E7F3DE" w14:textId="1986BCD0" w:rsidR="002B7635" w:rsidRPr="006437A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E837DFE" w14:textId="61063228" w:rsidR="002B7635" w:rsidRPr="006437AE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200</w:t>
            </w:r>
          </w:p>
        </w:tc>
      </w:tr>
      <w:tr w:rsidR="002B7635" w:rsidRPr="003003F5" w14:paraId="308AF6EC" w14:textId="77777777" w:rsidTr="00184B8E">
        <w:tc>
          <w:tcPr>
            <w:tcW w:w="5791" w:type="dxa"/>
            <w:shd w:val="clear" w:color="auto" w:fill="auto"/>
          </w:tcPr>
          <w:p w14:paraId="1D9E63EB" w14:textId="43037786" w:rsidR="002B7635" w:rsidRPr="006437AE" w:rsidRDefault="002B7635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Kidolgozott, felülvizsgált képzési terveket, tananyagokat, oktatási segédanyagokat adaptáló szervek, szervezetek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06BF95F" w14:textId="770D16EF" w:rsidR="002B7635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94AAAE6" w14:textId="4C35C510" w:rsidR="002B7635" w:rsidRDefault="002B763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</w:tbl>
    <w:p w14:paraId="6825B9A3" w14:textId="77777777" w:rsidR="00D272B4" w:rsidRDefault="00D272B4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66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lastRenderedPageBreak/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66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6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279A3" w14:textId="120E5172" w:rsidR="007D2C57" w:rsidRPr="008B0D0F" w:rsidRDefault="008B0D0F" w:rsidP="003003F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0D0F">
        <w:rPr>
          <w:rFonts w:ascii="Times New Roman" w:hAnsi="Times New Roman"/>
          <w:sz w:val="24"/>
          <w:szCs w:val="24"/>
          <w:highlight w:val="yellow"/>
        </w:rPr>
        <w:t>…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lastRenderedPageBreak/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</w:t>
      </w:r>
      <w:r>
        <w:rPr>
          <w:rFonts w:ascii="Times New Roman" w:hAnsi="Times New Roman"/>
          <w:sz w:val="24"/>
          <w:szCs w:val="24"/>
          <w:lang w:eastAsia="hu-HU"/>
        </w:rPr>
        <w:lastRenderedPageBreak/>
        <w:t>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6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67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6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6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67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6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6772FDBB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EE2689" w:rsidRPr="00EE2689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18129AC9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EE2689">
        <w:rPr>
          <w:rFonts w:ascii="Times New Roman" w:hAnsi="Times New Roman"/>
          <w:sz w:val="24"/>
          <w:szCs w:val="24"/>
        </w:rPr>
        <w:t>útmutató</w:t>
      </w:r>
      <w:r w:rsidR="00EE2689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10D782A0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EE2689">
        <w:rPr>
          <w:rFonts w:ascii="Times New Roman" w:hAnsi="Times New Roman"/>
          <w:sz w:val="24"/>
          <w:szCs w:val="24"/>
        </w:rPr>
        <w:t>útmutató</w:t>
      </w:r>
      <w:r w:rsidR="00EE2689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719A90E7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EE2689">
        <w:rPr>
          <w:rFonts w:ascii="Times New Roman" w:hAnsi="Times New Roman"/>
          <w:sz w:val="24"/>
          <w:szCs w:val="24"/>
        </w:rPr>
        <w:t>útmutató</w:t>
      </w:r>
      <w:r w:rsidR="00EE2689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6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180566A3" w14:textId="223F3BCE" w:rsidR="00FB18BD" w:rsidRPr="000F779B" w:rsidRDefault="00FB18B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6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6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5C0BD2C4" w:rsidR="0032087D" w:rsidRPr="00D9380C" w:rsidRDefault="00153DA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6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6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6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6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6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6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6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68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68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6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6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6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6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6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6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6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6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6D04FB96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EE2689">
        <w:rPr>
          <w:rFonts w:ascii="Times New Roman" w:hAnsi="Times New Roman"/>
          <w:sz w:val="24"/>
          <w:szCs w:val="24"/>
        </w:rPr>
        <w:t>útmutató</w:t>
      </w:r>
      <w:r w:rsidR="00EE2689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EE2689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6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6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69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7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7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7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7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7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7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7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7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A21FF6" w:rsidRPr="00905E2F" w14:paraId="51A38EB9" w14:textId="77777777" w:rsidTr="00A21FF6">
        <w:tc>
          <w:tcPr>
            <w:tcW w:w="3510" w:type="dxa"/>
          </w:tcPr>
          <w:p w14:paraId="37D89FD2" w14:textId="75CED83C" w:rsidR="00A21FF6" w:rsidRPr="00A4376F" w:rsidRDefault="00A21FF6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 száma</w:t>
            </w:r>
          </w:p>
        </w:tc>
        <w:tc>
          <w:tcPr>
            <w:tcW w:w="2631" w:type="dxa"/>
            <w:vAlign w:val="center"/>
          </w:tcPr>
          <w:p w14:paraId="0C781C06" w14:textId="103C4B2B" w:rsidR="00A21FF6" w:rsidRPr="00A4376F" w:rsidRDefault="00A21FF6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1FCD8EDE" w:rsidR="00A21FF6" w:rsidRPr="00A21FF6" w:rsidRDefault="00A21FF6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megvalósult tapasztalatcserét, illetve az egyes tevékenységi elemek megvalósulásának hatékonyságát célzó programok (pl. konferencia, f</w:t>
            </w: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ó</w:t>
            </w: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rum, workshop, stb.)</w:t>
            </w:r>
          </w:p>
        </w:tc>
      </w:tr>
      <w:tr w:rsidR="00A21FF6" w:rsidRPr="00905E2F" w14:paraId="7489BAAA" w14:textId="77777777" w:rsidTr="00A21FF6">
        <w:tc>
          <w:tcPr>
            <w:tcW w:w="3510" w:type="dxa"/>
          </w:tcPr>
          <w:p w14:paraId="5F39C998" w14:textId="65C7A073" w:rsidR="00A21FF6" w:rsidRPr="00A4376F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tapasztalatcseréken részt vevő szakemberek száma </w:t>
            </w:r>
          </w:p>
        </w:tc>
        <w:tc>
          <w:tcPr>
            <w:tcW w:w="2631" w:type="dxa"/>
            <w:vAlign w:val="center"/>
          </w:tcPr>
          <w:p w14:paraId="46F7A6BB" w14:textId="19EF7ED6" w:rsidR="00A21FF6" w:rsidRPr="00A4376F" w:rsidRDefault="00A21FF6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8001" w:type="dxa"/>
            <w:vAlign w:val="center"/>
          </w:tcPr>
          <w:p w14:paraId="140C496D" w14:textId="77777777" w:rsidR="00A21FF6" w:rsidRPr="00A21FF6" w:rsidRDefault="00A21FF6" w:rsidP="00A21FF6">
            <w:pPr>
              <w:rPr>
                <w:rFonts w:ascii="Times New Roman" w:hAnsi="Times New Roman"/>
                <w:sz w:val="24"/>
                <w:szCs w:val="24"/>
              </w:rPr>
            </w:pPr>
            <w:r w:rsidRPr="00A21FF6">
              <w:rPr>
                <w:rFonts w:ascii="Times New Roman" w:hAnsi="Times New Roman"/>
                <w:sz w:val="24"/>
                <w:szCs w:val="24"/>
              </w:rPr>
              <w:t>Azon szakemberek száma, akik a projekt keretében megvalósuló tapasztalatcs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>e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 xml:space="preserve">rét célzó programokon (pl. konferencia, tanulmányút, kétoldalú találkozó, </w:t>
            </w:r>
            <w:proofErr w:type="spellStart"/>
            <w:r w:rsidRPr="00A21FF6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A21F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FF6">
              <w:rPr>
                <w:rFonts w:ascii="Times New Roman" w:hAnsi="Times New Roman"/>
                <w:sz w:val="24"/>
                <w:szCs w:val="24"/>
              </w:rPr>
              <w:t>hospitáció</w:t>
            </w:r>
            <w:proofErr w:type="spellEnd"/>
            <w:r w:rsidRPr="00A21FF6">
              <w:rPr>
                <w:rFonts w:ascii="Times New Roman" w:hAnsi="Times New Roman"/>
                <w:sz w:val="24"/>
                <w:szCs w:val="24"/>
              </w:rPr>
              <w:t xml:space="preserve"> stb.) részt vettek. </w:t>
            </w:r>
          </w:p>
          <w:p w14:paraId="25C43DF6" w14:textId="3C872E52" w:rsidR="00A21FF6" w:rsidRPr="00A21FF6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1FF6" w:rsidRPr="00905E2F" w14:paraId="4CBA9AFE" w14:textId="77777777" w:rsidTr="00A21FF6">
        <w:tc>
          <w:tcPr>
            <w:tcW w:w="3510" w:type="dxa"/>
          </w:tcPr>
          <w:p w14:paraId="62CB03B7" w14:textId="44239E18" w:rsidR="00A21FF6" w:rsidRPr="00A4376F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2631" w:type="dxa"/>
            <w:vAlign w:val="center"/>
          </w:tcPr>
          <w:p w14:paraId="215A7C58" w14:textId="10904FE5" w:rsidR="00A21FF6" w:rsidRPr="00A4376F" w:rsidRDefault="00A21FF6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75DD2953" w14:textId="77777777" w:rsidR="00A21FF6" w:rsidRPr="00A21FF6" w:rsidRDefault="00A21FF6" w:rsidP="00A21FF6">
            <w:pPr>
              <w:rPr>
                <w:rFonts w:ascii="Times New Roman" w:hAnsi="Times New Roman"/>
                <w:sz w:val="24"/>
                <w:szCs w:val="24"/>
              </w:rPr>
            </w:pPr>
            <w:r w:rsidRPr="00A21FF6">
              <w:rPr>
                <w:rFonts w:ascii="Times New Roman" w:hAnsi="Times New Roman"/>
                <w:sz w:val="24"/>
                <w:szCs w:val="24"/>
              </w:rPr>
              <w:t xml:space="preserve">A projekt keretében </w:t>
            </w:r>
            <w:proofErr w:type="gramStart"/>
            <w:r w:rsidRPr="00A21FF6">
              <w:rPr>
                <w:rFonts w:ascii="Times New Roman" w:hAnsi="Times New Roman"/>
                <w:sz w:val="24"/>
                <w:szCs w:val="24"/>
              </w:rPr>
              <w:t>végrehajtott  tevékenységek</w:t>
            </w:r>
            <w:proofErr w:type="gramEnd"/>
            <w:r w:rsidRPr="00A21FF6">
              <w:rPr>
                <w:rFonts w:ascii="Times New Roman" w:hAnsi="Times New Roman"/>
                <w:sz w:val="24"/>
                <w:szCs w:val="24"/>
              </w:rPr>
              <w:t xml:space="preserve"> eredményeként létrejött tanu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>l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>mányok, jelentések száma.</w:t>
            </w:r>
          </w:p>
          <w:p w14:paraId="2760EEEC" w14:textId="672DC4EB" w:rsidR="00A21FF6" w:rsidRPr="00A21FF6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1FF6" w:rsidRPr="00905E2F" w14:paraId="38A18533" w14:textId="77777777" w:rsidTr="00A21FF6">
        <w:tc>
          <w:tcPr>
            <w:tcW w:w="3510" w:type="dxa"/>
          </w:tcPr>
          <w:p w14:paraId="2DD8D226" w14:textId="3A021FC3" w:rsidR="00A21FF6" w:rsidRPr="00A4376F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Kidolgozott, felülvizsgált képzési tervek, tananyagok, oktatási s</w:t>
            </w: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gédanyagok száma </w:t>
            </w:r>
          </w:p>
        </w:tc>
        <w:tc>
          <w:tcPr>
            <w:tcW w:w="2631" w:type="dxa"/>
            <w:vAlign w:val="center"/>
          </w:tcPr>
          <w:p w14:paraId="7202C768" w14:textId="729DC8ED" w:rsidR="00A21FF6" w:rsidRPr="00A4376F" w:rsidRDefault="00A21FF6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6FA8C52F" w14:textId="4244202B" w:rsidR="00A21FF6" w:rsidRPr="00A21FF6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kidolgozott, felülvizsgált elektronikusan elérhető képzési tervek, tananyagok, oktatási segédanyagok száma.</w:t>
            </w:r>
          </w:p>
        </w:tc>
      </w:tr>
      <w:tr w:rsidR="00A21FF6" w:rsidRPr="00905E2F" w14:paraId="259CA099" w14:textId="77777777" w:rsidTr="00A21FF6">
        <w:tc>
          <w:tcPr>
            <w:tcW w:w="3510" w:type="dxa"/>
            <w:vAlign w:val="center"/>
          </w:tcPr>
          <w:p w14:paraId="1501F58B" w14:textId="2499566F" w:rsidR="00A21FF6" w:rsidRPr="006437AE" w:rsidRDefault="00A21FF6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Megtartott képzési program id</w:t>
            </w: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ő</w:t>
            </w: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tartama</w:t>
            </w:r>
          </w:p>
        </w:tc>
        <w:tc>
          <w:tcPr>
            <w:tcW w:w="2631" w:type="dxa"/>
            <w:vAlign w:val="center"/>
          </w:tcPr>
          <w:p w14:paraId="07358408" w14:textId="2995AA94" w:rsidR="00A21FF6" w:rsidRPr="006437AE" w:rsidRDefault="00A21FF6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8001" w:type="dxa"/>
            <w:vAlign w:val="center"/>
          </w:tcPr>
          <w:p w14:paraId="2B16D2AA" w14:textId="3EC06554" w:rsidR="00A21FF6" w:rsidRPr="00A21FF6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megtartott képzések óraszáma.                                                                                                         Megjegyzés: képzések száma (db) x képzés hossza (óra); 1 képzési óra min</w:t>
            </w: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mum 45perc</w:t>
            </w:r>
          </w:p>
        </w:tc>
      </w:tr>
      <w:tr w:rsidR="00A21FF6" w:rsidRPr="00905E2F" w14:paraId="508FC037" w14:textId="77777777" w:rsidTr="00A21FF6">
        <w:tc>
          <w:tcPr>
            <w:tcW w:w="3510" w:type="dxa"/>
          </w:tcPr>
          <w:p w14:paraId="390C141B" w14:textId="56CE72F4" w:rsidR="00A21FF6" w:rsidRPr="006437AE" w:rsidRDefault="00A21FF6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Képzési programot sikeresen e</w:t>
            </w: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végző szakemberek száma</w:t>
            </w:r>
          </w:p>
        </w:tc>
        <w:tc>
          <w:tcPr>
            <w:tcW w:w="2631" w:type="dxa"/>
            <w:vAlign w:val="center"/>
          </w:tcPr>
          <w:p w14:paraId="1F6C333E" w14:textId="491CD561" w:rsidR="00A21FF6" w:rsidRPr="006437AE" w:rsidRDefault="00A21FF6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fő</w:t>
            </w:r>
          </w:p>
        </w:tc>
        <w:tc>
          <w:tcPr>
            <w:tcW w:w="8001" w:type="dxa"/>
            <w:vAlign w:val="center"/>
          </w:tcPr>
          <w:p w14:paraId="6AC457C6" w14:textId="77777777" w:rsidR="00A21FF6" w:rsidRPr="00A21FF6" w:rsidRDefault="00A21FF6" w:rsidP="00A21FF6">
            <w:pPr>
              <w:rPr>
                <w:rFonts w:ascii="Times New Roman" w:hAnsi="Times New Roman"/>
                <w:sz w:val="24"/>
                <w:szCs w:val="24"/>
              </w:rPr>
            </w:pPr>
            <w:r w:rsidRPr="00A21FF6">
              <w:rPr>
                <w:rFonts w:ascii="Times New Roman" w:hAnsi="Times New Roman"/>
                <w:sz w:val="24"/>
                <w:szCs w:val="24"/>
              </w:rPr>
              <w:t>Azon szakemberek száma, akik a projekt keretében megvalósuló képzési pro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>g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 xml:space="preserve">ramot sikeresen elvégezték, azaz a képzést lezáró vizsgát sikeresen teljesítették, </w:t>
            </w:r>
            <w:r w:rsidRPr="00A21FF6">
              <w:rPr>
                <w:rFonts w:ascii="Times New Roman" w:hAnsi="Times New Roman"/>
                <w:sz w:val="24"/>
                <w:szCs w:val="24"/>
              </w:rPr>
              <w:lastRenderedPageBreak/>
              <w:t>illetve amennyiben a képzés nem vizsgával zárul, az indikátor értékének szám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>í</w:t>
            </w:r>
            <w:r w:rsidRPr="00A21FF6">
              <w:rPr>
                <w:rFonts w:ascii="Times New Roman" w:hAnsi="Times New Roman"/>
                <w:sz w:val="24"/>
                <w:szCs w:val="24"/>
              </w:rPr>
              <w:t xml:space="preserve">tásánál azon szakemberek vehetőek számításba, akik a képzési órák minimum 80%-án részt vettek. </w:t>
            </w:r>
          </w:p>
          <w:p w14:paraId="14F6866D" w14:textId="77777777" w:rsidR="00A21FF6" w:rsidRPr="00A21FF6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21FF6" w:rsidRPr="00905E2F" w14:paraId="3ABC82F1" w14:textId="77777777" w:rsidTr="00A21FF6">
        <w:tc>
          <w:tcPr>
            <w:tcW w:w="3510" w:type="dxa"/>
            <w:vAlign w:val="bottom"/>
          </w:tcPr>
          <w:p w14:paraId="0EC83C6B" w14:textId="6F8572F8" w:rsidR="00A21FF6" w:rsidRPr="006437AE" w:rsidRDefault="00A21FF6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Kidolgozott, felülvizsgált képzési terveket, tananyagokat, oktatási segédanyagokat adaptáló szervek, szervezetek száma </w:t>
            </w:r>
          </w:p>
        </w:tc>
        <w:tc>
          <w:tcPr>
            <w:tcW w:w="2631" w:type="dxa"/>
            <w:vAlign w:val="center"/>
          </w:tcPr>
          <w:p w14:paraId="32C28BA5" w14:textId="6D9889F4" w:rsidR="00A21FF6" w:rsidRPr="006437AE" w:rsidRDefault="00A21FF6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37A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6C740A50" w14:textId="7B4AD0E6" w:rsidR="00A21FF6" w:rsidRPr="00A21FF6" w:rsidRDefault="00A21FF6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Szervek, szervezetek száma, akik a projekt keretében </w:t>
            </w:r>
            <w:proofErr w:type="gramStart"/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>kidolgozott ,</w:t>
            </w:r>
            <w:proofErr w:type="gramEnd"/>
            <w:r w:rsidRPr="00A2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felülvizsgált képzési terveket, tananyagokat, oktatási segédanyagokat a jövőben alkalmazzák.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7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B19ED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6B19E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6B19ED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57E130B1" w:rsidR="0032087D" w:rsidRPr="006C0A10" w:rsidRDefault="0032087D" w:rsidP="003A3748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3A3748">
        <w:rPr>
          <w:rFonts w:ascii="Times New Roman" w:hAnsi="Times New Roman"/>
          <w:sz w:val="24"/>
          <w:szCs w:val="24"/>
        </w:rPr>
        <w:t xml:space="preserve"> </w:t>
      </w:r>
      <w:r w:rsidR="003A3748" w:rsidRPr="003A3748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A21FF6" w:rsidRDefault="00A21FF6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A21FF6" w:rsidRDefault="00A21FF6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A21FF6" w:rsidRDefault="00A21F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A21FF6" w:rsidRPr="00AA01FE" w:rsidRDefault="00A21FF6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E2689">
      <w:rPr>
        <w:rFonts w:ascii="Times New Roman" w:hAnsi="Times New Roman"/>
        <w:b/>
        <w:bCs/>
        <w:noProof/>
      </w:rPr>
      <w:t>48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EE2689">
      <w:rPr>
        <w:rFonts w:ascii="Times New Roman" w:hAnsi="Times New Roman"/>
        <w:b/>
        <w:bCs/>
        <w:noProof/>
      </w:rPr>
      <w:t>84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A21FF6" w:rsidRDefault="00A21F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A21FF6" w:rsidRDefault="00A21FF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A21FF6" w:rsidRDefault="00A21FF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E2689">
      <w:rPr>
        <w:rStyle w:val="Oldalszm"/>
        <w:noProof/>
      </w:rPr>
      <w:t>54</w:t>
    </w:r>
    <w:r>
      <w:rPr>
        <w:rStyle w:val="Oldalszm"/>
      </w:rPr>
      <w:fldChar w:fldCharType="end"/>
    </w:r>
  </w:p>
  <w:p w14:paraId="39E8D495" w14:textId="77777777" w:rsidR="00A21FF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A21FF6" w:rsidRPr="00A6084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A21FF6" w:rsidRPr="00C06243" w:rsidRDefault="00A21FF6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A21FF6" w:rsidRDefault="00A21FF6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E2689">
      <w:rPr>
        <w:rStyle w:val="Oldalszm"/>
        <w:noProof/>
      </w:rPr>
      <w:t>84</w:t>
    </w:r>
    <w:r>
      <w:rPr>
        <w:rStyle w:val="Oldalszm"/>
      </w:rPr>
      <w:fldChar w:fldCharType="end"/>
    </w:r>
  </w:p>
  <w:p w14:paraId="20F1BA34" w14:textId="77777777" w:rsidR="00A21FF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A21FF6" w:rsidRPr="00A6084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A21FF6" w:rsidRPr="00C06243" w:rsidRDefault="00A21FF6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A21FF6" w:rsidRDefault="00A21FF6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A21FF6" w:rsidRDefault="00A21FF6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a)-f)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A21FF6" w:rsidRPr="00653CFA" w:rsidRDefault="00A21FF6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A21FF6" w:rsidRPr="00601539" w:rsidRDefault="00A21FF6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A21FF6" w:rsidRDefault="00A21FF6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A21FF6" w:rsidRPr="00601539" w:rsidRDefault="00A21FF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A21FF6" w:rsidRPr="00D960FD" w:rsidRDefault="00A21FF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A21FF6" w:rsidRPr="00BB142E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A21FF6" w:rsidRPr="00BB142E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A21FF6" w:rsidRPr="00D960FD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A21FF6" w:rsidRPr="00BB142E" w:rsidRDefault="00A21FF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A21FF6" w:rsidRPr="00BB142E" w:rsidRDefault="00A21FF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A21FF6" w:rsidRPr="0061151C" w:rsidRDefault="00A21FF6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A21FF6" w:rsidRDefault="00A21FF6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A21FF6" w:rsidRDefault="00A21FF6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A21FF6" w:rsidRPr="00B84EE2" w:rsidRDefault="00A21FF6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A21FF6" w:rsidRPr="00412EC4" w:rsidRDefault="00A21FF6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A21FF6" w:rsidRDefault="00EE2689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A21FF6" w:rsidRDefault="00EE2689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A21FF6" w:rsidRDefault="00EE2689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A21FF6" w:rsidRDefault="00EE2689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A21FF6" w:rsidRPr="00B47A6C" w:rsidRDefault="00EE2689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21FF6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A21FF6" w:rsidRPr="00FA3890" w:rsidRDefault="00EE2689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A21FF6" w:rsidRDefault="00A21FF6" w:rsidP="00AD0BE0">
    <w:pPr>
      <w:pStyle w:val="lfej"/>
    </w:pPr>
  </w:p>
  <w:p w14:paraId="1809E7B6" w14:textId="77777777" w:rsidR="00A21FF6" w:rsidRDefault="00A21FF6" w:rsidP="00AD0BE0">
    <w:pPr>
      <w:pStyle w:val="lfej"/>
    </w:pPr>
  </w:p>
  <w:p w14:paraId="4F0AFA3F" w14:textId="77777777" w:rsidR="00A21FF6" w:rsidRDefault="00A21FF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A21FF6" w:rsidRPr="00C06243" w:rsidRDefault="00A21FF6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A21FF6" w:rsidRDefault="00EE2689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A21FF6" w:rsidRPr="00B47A6C" w:rsidRDefault="00EE2689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21FF6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A21FF6" w:rsidRPr="00FA3890" w:rsidRDefault="00EE2689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A21FF6" w:rsidRDefault="00A21FF6" w:rsidP="00AD0BE0">
    <w:pPr>
      <w:pStyle w:val="lfej"/>
    </w:pPr>
  </w:p>
  <w:p w14:paraId="2F7FC325" w14:textId="77777777" w:rsidR="00A21FF6" w:rsidRDefault="00A21FF6" w:rsidP="00AD0BE0">
    <w:pPr>
      <w:pStyle w:val="lfej"/>
    </w:pPr>
  </w:p>
  <w:p w14:paraId="536E3E9A" w14:textId="77777777" w:rsidR="00A21FF6" w:rsidRDefault="00A21FF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A21FF6" w:rsidRPr="00C06243" w:rsidRDefault="00A21FF6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57F14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322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916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466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14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B34F9"/>
    <w:multiLevelType w:val="hybridMultilevel"/>
    <w:tmpl w:val="FE0CB7C6"/>
    <w:lvl w:ilvl="0" w:tplc="0F0A32A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BD416E"/>
    <w:multiLevelType w:val="hybridMultilevel"/>
    <w:tmpl w:val="A53671E2"/>
    <w:lvl w:ilvl="0" w:tplc="0F0A32A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A236384"/>
    <w:multiLevelType w:val="hybridMultilevel"/>
    <w:tmpl w:val="0C904E8A"/>
    <w:lvl w:ilvl="0" w:tplc="0F0A32AE">
      <w:start w:val="1"/>
      <w:numFmt w:val="lowerLetter"/>
      <w:lvlText w:val="%1)"/>
      <w:lvlJc w:val="left"/>
      <w:pPr>
        <w:ind w:left="11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18"/>
  </w:num>
  <w:num w:numId="4">
    <w:abstractNumId w:val="28"/>
  </w:num>
  <w:num w:numId="5">
    <w:abstractNumId w:val="15"/>
  </w:num>
  <w:num w:numId="6">
    <w:abstractNumId w:val="54"/>
  </w:num>
  <w:num w:numId="7">
    <w:abstractNumId w:val="45"/>
  </w:num>
  <w:num w:numId="8">
    <w:abstractNumId w:val="3"/>
  </w:num>
  <w:num w:numId="9">
    <w:abstractNumId w:val="33"/>
  </w:num>
  <w:num w:numId="10">
    <w:abstractNumId w:val="62"/>
  </w:num>
  <w:num w:numId="11">
    <w:abstractNumId w:val="16"/>
  </w:num>
  <w:num w:numId="12">
    <w:abstractNumId w:val="39"/>
  </w:num>
  <w:num w:numId="13">
    <w:abstractNumId w:val="22"/>
  </w:num>
  <w:num w:numId="14">
    <w:abstractNumId w:val="7"/>
  </w:num>
  <w:num w:numId="15">
    <w:abstractNumId w:val="1"/>
  </w:num>
  <w:num w:numId="16">
    <w:abstractNumId w:val="58"/>
  </w:num>
  <w:num w:numId="17">
    <w:abstractNumId w:val="38"/>
  </w:num>
  <w:num w:numId="18">
    <w:abstractNumId w:val="56"/>
  </w:num>
  <w:num w:numId="19">
    <w:abstractNumId w:val="9"/>
  </w:num>
  <w:num w:numId="20">
    <w:abstractNumId w:val="46"/>
  </w:num>
  <w:num w:numId="21">
    <w:abstractNumId w:val="35"/>
  </w:num>
  <w:num w:numId="22">
    <w:abstractNumId w:val="34"/>
  </w:num>
  <w:num w:numId="23">
    <w:abstractNumId w:val="50"/>
  </w:num>
  <w:num w:numId="24">
    <w:abstractNumId w:val="32"/>
  </w:num>
  <w:num w:numId="25">
    <w:abstractNumId w:val="53"/>
  </w:num>
  <w:num w:numId="26">
    <w:abstractNumId w:val="20"/>
  </w:num>
  <w:num w:numId="27">
    <w:abstractNumId w:val="27"/>
  </w:num>
  <w:num w:numId="28">
    <w:abstractNumId w:val="6"/>
  </w:num>
  <w:num w:numId="29">
    <w:abstractNumId w:val="14"/>
  </w:num>
  <w:num w:numId="30">
    <w:abstractNumId w:val="0"/>
  </w:num>
  <w:num w:numId="31">
    <w:abstractNumId w:val="52"/>
  </w:num>
  <w:num w:numId="32">
    <w:abstractNumId w:val="24"/>
  </w:num>
  <w:num w:numId="33">
    <w:abstractNumId w:val="48"/>
  </w:num>
  <w:num w:numId="34">
    <w:abstractNumId w:val="11"/>
  </w:num>
  <w:num w:numId="35">
    <w:abstractNumId w:val="55"/>
  </w:num>
  <w:num w:numId="36">
    <w:abstractNumId w:val="26"/>
  </w:num>
  <w:num w:numId="37">
    <w:abstractNumId w:val="36"/>
  </w:num>
  <w:num w:numId="38">
    <w:abstractNumId w:val="43"/>
  </w:num>
  <w:num w:numId="39">
    <w:abstractNumId w:val="21"/>
  </w:num>
  <w:num w:numId="40">
    <w:abstractNumId w:val="17"/>
  </w:num>
  <w:num w:numId="41">
    <w:abstractNumId w:val="12"/>
  </w:num>
  <w:num w:numId="42">
    <w:abstractNumId w:val="49"/>
  </w:num>
  <w:num w:numId="43">
    <w:abstractNumId w:val="60"/>
  </w:num>
  <w:num w:numId="44">
    <w:abstractNumId w:val="37"/>
  </w:num>
  <w:num w:numId="45">
    <w:abstractNumId w:val="10"/>
  </w:num>
  <w:num w:numId="46">
    <w:abstractNumId w:val="25"/>
  </w:num>
  <w:num w:numId="47">
    <w:abstractNumId w:val="57"/>
  </w:num>
  <w:num w:numId="48">
    <w:abstractNumId w:val="8"/>
  </w:num>
  <w:num w:numId="49">
    <w:abstractNumId w:val="61"/>
  </w:num>
  <w:num w:numId="50">
    <w:abstractNumId w:val="44"/>
  </w:num>
  <w:num w:numId="51">
    <w:abstractNumId w:val="2"/>
  </w:num>
  <w:num w:numId="52">
    <w:abstractNumId w:val="5"/>
  </w:num>
  <w:num w:numId="53">
    <w:abstractNumId w:val="41"/>
  </w:num>
  <w:num w:numId="54">
    <w:abstractNumId w:val="47"/>
  </w:num>
  <w:num w:numId="55">
    <w:abstractNumId w:val="29"/>
  </w:num>
  <w:num w:numId="56">
    <w:abstractNumId w:val="19"/>
  </w:num>
  <w:num w:numId="57">
    <w:abstractNumId w:val="51"/>
  </w:num>
  <w:num w:numId="58">
    <w:abstractNumId w:val="23"/>
  </w:num>
  <w:num w:numId="59">
    <w:abstractNumId w:val="4"/>
  </w:num>
  <w:num w:numId="60">
    <w:abstractNumId w:val="59"/>
  </w:num>
  <w:num w:numId="61">
    <w:abstractNumId w:val="30"/>
  </w:num>
  <w:num w:numId="62">
    <w:abstractNumId w:val="13"/>
  </w:num>
  <w:num w:numId="63">
    <w:abstractNumId w:val="42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3DAD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635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3748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2359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19ED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6EE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1FF6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4C35"/>
    <w:rsid w:val="00C06ABD"/>
    <w:rsid w:val="00C10D8E"/>
    <w:rsid w:val="00C11090"/>
    <w:rsid w:val="00C116BB"/>
    <w:rsid w:val="00C1313A"/>
    <w:rsid w:val="00C1416F"/>
    <w:rsid w:val="00C141CB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67E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2B4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4C7E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5A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2689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4B2B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96CD3"/>
    <w:rsid w:val="00FA1848"/>
    <w:rsid w:val="00FA332A"/>
    <w:rsid w:val="00FA350A"/>
    <w:rsid w:val="00FA3834"/>
    <w:rsid w:val="00FA7410"/>
    <w:rsid w:val="00FB18BD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48" Type="http://schemas.microsoft.com/office/2011/relationships/people" Target="peop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A316-D16A-4A45-AF83-7D40616A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84</Pages>
  <Words>19758</Words>
  <Characters>136334</Characters>
  <Application>Microsoft Office Word</Application>
  <DocSecurity>0</DocSecurity>
  <Lines>1136</Lines>
  <Paragraphs>311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155781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16</cp:revision>
  <cp:lastPrinted>2019-04-01T13:42:00Z</cp:lastPrinted>
  <dcterms:created xsi:type="dcterms:W3CDTF">2019-06-14T10:38:00Z</dcterms:created>
  <dcterms:modified xsi:type="dcterms:W3CDTF">2019-06-17T16:05:00Z</dcterms:modified>
</cp:coreProperties>
</file>